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DB42A" w14:textId="4FCA0B6E" w:rsidR="00BF3AAF" w:rsidRDefault="00F65EBA" w:rsidP="00BF3AAF">
      <w:pPr>
        <w:spacing w:after="0" w:line="240" w:lineRule="auto"/>
        <w:jc w:val="center"/>
        <w:rPr>
          <w:rFonts w:ascii="Arial" w:eastAsia="Times New Roman" w:hAnsi="Arial" w:cs="Arial"/>
          <w:color w:val="000000"/>
          <w:sz w:val="27"/>
          <w:szCs w:val="27"/>
          <w:shd w:val="clear" w:color="auto" w:fill="FFFFFF"/>
        </w:rPr>
      </w:pPr>
      <w:r w:rsidRPr="00F65EBA">
        <w:rPr>
          <w:rFonts w:ascii="Times New Roman" w:eastAsia="Times New Roman" w:hAnsi="Times New Roman" w:cs="Times New Roman"/>
          <w:color w:val="000000"/>
          <w:sz w:val="27"/>
          <w:szCs w:val="27"/>
        </w:rPr>
        <w:br/>
      </w:r>
      <w:bookmarkStart w:id="0" w:name="_Toc98720335"/>
      <w:bookmarkStart w:id="1" w:name="_GoBack"/>
      <w:bookmarkEnd w:id="1"/>
    </w:p>
    <w:p w14:paraId="4C258281" w14:textId="77777777" w:rsidR="00BF3AAF" w:rsidRDefault="00BF3AAF" w:rsidP="00BF3AAF">
      <w:pPr>
        <w:spacing w:after="0" w:line="240" w:lineRule="auto"/>
        <w:jc w:val="center"/>
        <w:rPr>
          <w:rFonts w:ascii="Arial" w:eastAsia="Times New Roman" w:hAnsi="Arial" w:cs="Arial"/>
          <w:color w:val="000000"/>
          <w:sz w:val="27"/>
          <w:szCs w:val="27"/>
          <w:shd w:val="clear" w:color="auto" w:fill="FFFFFF"/>
        </w:rPr>
      </w:pPr>
    </w:p>
    <w:p w14:paraId="560C6122" w14:textId="77777777" w:rsidR="00BF3AAF" w:rsidRDefault="00BF3AAF" w:rsidP="00BF3AAF">
      <w:pPr>
        <w:spacing w:after="0" w:line="240" w:lineRule="auto"/>
        <w:jc w:val="center"/>
        <w:rPr>
          <w:rFonts w:ascii="Arial" w:eastAsia="Times New Roman" w:hAnsi="Arial" w:cs="Arial"/>
          <w:color w:val="000000"/>
          <w:sz w:val="27"/>
          <w:szCs w:val="27"/>
          <w:shd w:val="clear" w:color="auto" w:fill="FFFFFF"/>
        </w:rPr>
      </w:pPr>
      <w:r w:rsidRPr="00BF3AAF">
        <w:rPr>
          <w:rFonts w:ascii="Arial" w:eastAsia="Times New Roman" w:hAnsi="Arial" w:cs="Arial"/>
          <w:color w:val="000000"/>
          <w:sz w:val="27"/>
          <w:szCs w:val="27"/>
          <w:shd w:val="clear" w:color="auto" w:fill="FFFFFF"/>
        </w:rPr>
        <w:t>MGMT640 - Financial Decision Making for Managers</w:t>
      </w:r>
    </w:p>
    <w:p w14:paraId="33F74020" w14:textId="77777777" w:rsidR="00BF3AAF" w:rsidRDefault="00BF3AAF" w:rsidP="00BF3AAF">
      <w:pPr>
        <w:spacing w:after="0" w:line="240" w:lineRule="auto"/>
        <w:rPr>
          <w:rFonts w:ascii="Arial" w:eastAsia="Times New Roman" w:hAnsi="Arial" w:cs="Arial"/>
          <w:color w:val="000000"/>
          <w:sz w:val="27"/>
          <w:szCs w:val="27"/>
          <w:shd w:val="clear" w:color="auto" w:fill="FFFFFF"/>
        </w:rPr>
      </w:pPr>
    </w:p>
    <w:p w14:paraId="2F63DF3F" w14:textId="77777777" w:rsidR="00F65EBA" w:rsidRPr="00A6157C" w:rsidRDefault="00F65EBA" w:rsidP="00303F27">
      <w:pPr>
        <w:pStyle w:val="Heading2"/>
      </w:pPr>
      <w:r w:rsidRPr="00F65EBA">
        <w:t xml:space="preserve">MGMT640: </w:t>
      </w:r>
      <w:r w:rsidRPr="00303F27">
        <w:t>Session</w:t>
      </w:r>
      <w:r w:rsidRPr="00F65EBA">
        <w:t xml:space="preserve"> </w:t>
      </w:r>
      <w:r w:rsidR="00D76FCE">
        <w:t>5</w:t>
      </w:r>
      <w:r w:rsidR="00A36FE3">
        <w:t xml:space="preserve"> </w:t>
      </w:r>
      <w:r w:rsidR="00035EAD">
        <w:t>–</w:t>
      </w:r>
      <w:r w:rsidR="00A36FE3">
        <w:t xml:space="preserve"> </w:t>
      </w:r>
      <w:r w:rsidR="00035EAD">
        <w:t>Risk &amp; Return</w:t>
      </w:r>
      <w:r w:rsidRPr="00F65EBA">
        <w:br/>
      </w:r>
      <w:bookmarkEnd w:id="0"/>
    </w:p>
    <w:p w14:paraId="257842A3" w14:textId="77777777" w:rsidR="00A6157C" w:rsidRDefault="00A6157C" w:rsidP="00A6157C">
      <w:pPr>
        <w:pStyle w:val="Heading2"/>
      </w:pPr>
      <w:r>
        <w:t>Learning Objectives</w:t>
      </w:r>
    </w:p>
    <w:p w14:paraId="11A13D63" w14:textId="77777777" w:rsidR="00D76FCE" w:rsidRDefault="00D76FCE" w:rsidP="00D76FCE">
      <w:pPr>
        <w:pStyle w:val="ListParagraph"/>
        <w:numPr>
          <w:ilvl w:val="0"/>
          <w:numId w:val="3"/>
        </w:numPr>
      </w:pPr>
      <w:r>
        <w:t>Explain the relation between risk and return.</w:t>
      </w:r>
    </w:p>
    <w:p w14:paraId="71BCAE18" w14:textId="77777777" w:rsidR="00D76FCE" w:rsidRDefault="00D76FCE" w:rsidP="00D76FCE">
      <w:pPr>
        <w:pStyle w:val="ListParagraph"/>
        <w:numPr>
          <w:ilvl w:val="0"/>
          <w:numId w:val="3"/>
        </w:numPr>
      </w:pPr>
      <w:r>
        <w:t>Describe the two components of a total holding period return, and calculate this return for an asset.</w:t>
      </w:r>
    </w:p>
    <w:p w14:paraId="6E6FB239" w14:textId="77777777" w:rsidR="00D76FCE" w:rsidRDefault="00D76FCE" w:rsidP="00D76FCE">
      <w:pPr>
        <w:pStyle w:val="ListParagraph"/>
        <w:numPr>
          <w:ilvl w:val="0"/>
          <w:numId w:val="3"/>
        </w:numPr>
      </w:pPr>
      <w:r>
        <w:t>Explain what an expected return is, and calculate the expected return for an asset.</w:t>
      </w:r>
    </w:p>
    <w:p w14:paraId="4E1516F0" w14:textId="77777777" w:rsidR="00D76FCE" w:rsidRDefault="00D76FCE" w:rsidP="00D76FCE">
      <w:pPr>
        <w:pStyle w:val="ListParagraph"/>
        <w:numPr>
          <w:ilvl w:val="0"/>
          <w:numId w:val="3"/>
        </w:numPr>
      </w:pPr>
      <w:r>
        <w:t>Explain what the standard deviation of returns is, explain why it is especially useful in finance, and be able to calculate it.</w:t>
      </w:r>
    </w:p>
    <w:p w14:paraId="1A1DD420" w14:textId="77777777" w:rsidR="00D76FCE" w:rsidRDefault="00D76FCE" w:rsidP="00D76FCE">
      <w:pPr>
        <w:pStyle w:val="ListParagraph"/>
        <w:numPr>
          <w:ilvl w:val="0"/>
          <w:numId w:val="3"/>
        </w:numPr>
      </w:pPr>
      <w:r>
        <w:t>Explain the concept of diversification.</w:t>
      </w:r>
    </w:p>
    <w:p w14:paraId="055F886D" w14:textId="77777777" w:rsidR="00D76FCE" w:rsidRDefault="00D76FCE" w:rsidP="00D76FCE">
      <w:pPr>
        <w:pStyle w:val="ListParagraph"/>
        <w:numPr>
          <w:ilvl w:val="0"/>
          <w:numId w:val="3"/>
        </w:numPr>
      </w:pPr>
      <w:r>
        <w:t>Discuss which type of risk matters to investors and why.</w:t>
      </w:r>
    </w:p>
    <w:p w14:paraId="3D0164EF" w14:textId="77777777" w:rsidR="00A6157C" w:rsidRDefault="00D76FCE" w:rsidP="00D76FCE">
      <w:pPr>
        <w:pStyle w:val="ListParagraph"/>
        <w:numPr>
          <w:ilvl w:val="0"/>
          <w:numId w:val="3"/>
        </w:numPr>
      </w:pPr>
      <w:r>
        <w:t>Describe what the Capital Asset Pricing Model (CAPM) tells us and how to use it to evaluate whether the expected return of an asset is sufficient to compensate an investor for the risks associated with that asset.</w:t>
      </w:r>
    </w:p>
    <w:p w14:paraId="798A0C86" w14:textId="77777777" w:rsidR="00A6157C" w:rsidRDefault="00D76FCE" w:rsidP="00D76FCE">
      <w:pPr>
        <w:pStyle w:val="Heading2"/>
      </w:pPr>
      <w:r w:rsidRPr="00D76FCE">
        <w:t>Expected Rate of Return</w:t>
      </w:r>
    </w:p>
    <w:p w14:paraId="400F5981" w14:textId="77777777" w:rsidR="00D76FCE" w:rsidRDefault="00D76FCE" w:rsidP="00D76FCE">
      <w:r>
        <w:t>The return rate expected to be realized from an investment based on probability of occurrence</w:t>
      </w:r>
    </w:p>
    <w:p w14:paraId="27E98833" w14:textId="77777777" w:rsidR="00D76FCE" w:rsidRDefault="00D76FCE" w:rsidP="00D76FCE">
      <w:r>
        <w:t>If we multiply each possible outcome by the probability of its occurrence and then we add up these values, we end up with a weighted average of outcomes.</w:t>
      </w:r>
    </w:p>
    <w:p w14:paraId="451ADA4E" w14:textId="77777777" w:rsidR="00D76FCE" w:rsidRPr="00D76FCE" w:rsidRDefault="00D76FCE" w:rsidP="00D76FCE">
      <w:r>
        <w:t>The weights = probabilities and the weighted average = Expected Rate of Return</w:t>
      </w:r>
    </w:p>
    <w:p w14:paraId="3235AAA5" w14:textId="77777777" w:rsidR="00A6157C" w:rsidRDefault="00D76FCE" w:rsidP="00D76FCE">
      <w:r>
        <w:t>Expected return on an asset, E(</w:t>
      </w:r>
      <w:proofErr w:type="spellStart"/>
      <w:r>
        <w:t>RAsset</w:t>
      </w:r>
      <w:proofErr w:type="spellEnd"/>
      <w:r>
        <w:t>), is a (weighted) average of possible returns on the asset, where the returns are weighed by the probability of their occurrence:</w:t>
      </w:r>
      <w:r w:rsidR="00C755D9" w:rsidRPr="00D76FCE">
        <w:rPr>
          <w:noProof/>
        </w:rPr>
        <w:object w:dxaOrig="180" w:dyaOrig="340" w14:anchorId="0B96E7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9.2pt;height:16.85pt;mso-width-percent:0;mso-height-percent:0;mso-width-percent:0;mso-height-percent:0" o:ole="">
            <v:imagedata r:id="rId7" o:title=""/>
          </v:shape>
          <o:OLEObject Type="Embed" ProgID="Equation.3" ShapeID="_x0000_i1027" DrawAspect="Content" ObjectID="_1635841024" r:id="rId8"/>
        </w:object>
      </w:r>
      <w:r w:rsidRPr="00D76FCE">
        <w:rPr>
          <w:noProof/>
        </w:rPr>
        <w:drawing>
          <wp:inline distT="0" distB="0" distL="0" distR="0" wp14:anchorId="3749DC02" wp14:editId="278A0096">
            <wp:extent cx="5943600" cy="7184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718457"/>
                    </a:xfrm>
                    <a:prstGeom prst="rect">
                      <a:avLst/>
                    </a:prstGeom>
                    <a:noFill/>
                    <a:ln>
                      <a:noFill/>
                    </a:ln>
                  </pic:spPr>
                </pic:pic>
              </a:graphicData>
            </a:graphic>
          </wp:inline>
        </w:drawing>
      </w:r>
    </w:p>
    <w:p w14:paraId="4FE03A48" w14:textId="77777777" w:rsidR="00D76FCE" w:rsidRDefault="00D76FCE" w:rsidP="00A6157C"/>
    <w:p w14:paraId="6828BACA" w14:textId="77777777" w:rsidR="00D76FCE" w:rsidRDefault="00D76FCE" w:rsidP="00A6157C"/>
    <w:p w14:paraId="7D92C107" w14:textId="77777777" w:rsidR="00D76FCE" w:rsidRDefault="00D76FCE" w:rsidP="00A6157C"/>
    <w:p w14:paraId="02042E18" w14:textId="77777777" w:rsidR="00A6157C" w:rsidRDefault="00D76FCE" w:rsidP="00A6157C">
      <w:r>
        <w:t>Example:</w:t>
      </w:r>
    </w:p>
    <w:tbl>
      <w:tblPr>
        <w:tblW w:w="10366" w:type="dxa"/>
        <w:tblCellMar>
          <w:left w:w="0" w:type="dxa"/>
          <w:right w:w="0" w:type="dxa"/>
        </w:tblCellMar>
        <w:tblLook w:val="0600" w:firstRow="0" w:lastRow="0" w:firstColumn="0" w:lastColumn="0" w:noHBand="1" w:noVBand="1"/>
      </w:tblPr>
      <w:tblGrid>
        <w:gridCol w:w="4023"/>
        <w:gridCol w:w="2011"/>
        <w:gridCol w:w="2011"/>
        <w:gridCol w:w="2321"/>
      </w:tblGrid>
      <w:tr w:rsidR="00D76FCE" w:rsidRPr="00D76FCE" w14:paraId="43344519" w14:textId="77777777" w:rsidTr="00D76FCE">
        <w:trPr>
          <w:trHeight w:val="192"/>
        </w:trPr>
        <w:tc>
          <w:tcPr>
            <w:tcW w:w="4023" w:type="dxa"/>
            <w:tcBorders>
              <w:top w:val="nil"/>
              <w:left w:val="nil"/>
              <w:bottom w:val="nil"/>
              <w:right w:val="nil"/>
            </w:tcBorders>
            <w:shd w:val="clear" w:color="auto" w:fill="auto"/>
            <w:tcMar>
              <w:top w:w="20" w:type="dxa"/>
              <w:left w:w="20" w:type="dxa"/>
              <w:bottom w:w="0" w:type="dxa"/>
              <w:right w:w="20" w:type="dxa"/>
            </w:tcMar>
            <w:vAlign w:val="bottom"/>
            <w:hideMark/>
          </w:tcPr>
          <w:p w14:paraId="75690EA1" w14:textId="77777777" w:rsidR="00D76FCE" w:rsidRPr="00D76FCE" w:rsidRDefault="00D76FCE" w:rsidP="00D76FCE"/>
        </w:tc>
        <w:tc>
          <w:tcPr>
            <w:tcW w:w="2011" w:type="dxa"/>
            <w:tcBorders>
              <w:top w:val="nil"/>
              <w:left w:val="nil"/>
              <w:bottom w:val="nil"/>
              <w:right w:val="nil"/>
            </w:tcBorders>
            <w:shd w:val="clear" w:color="auto" w:fill="auto"/>
            <w:tcMar>
              <w:top w:w="20" w:type="dxa"/>
              <w:left w:w="20" w:type="dxa"/>
              <w:bottom w:w="0" w:type="dxa"/>
              <w:right w:w="20" w:type="dxa"/>
            </w:tcMar>
            <w:vAlign w:val="bottom"/>
            <w:hideMark/>
          </w:tcPr>
          <w:p w14:paraId="5A63345E" w14:textId="77777777" w:rsidR="00D76FCE" w:rsidRPr="00D76FCE" w:rsidRDefault="00D76FCE" w:rsidP="00D76FCE">
            <w:r w:rsidRPr="00D76FCE">
              <w:t>Probability</w:t>
            </w:r>
          </w:p>
        </w:tc>
        <w:tc>
          <w:tcPr>
            <w:tcW w:w="2011" w:type="dxa"/>
            <w:tcBorders>
              <w:top w:val="nil"/>
              <w:left w:val="nil"/>
              <w:bottom w:val="nil"/>
              <w:right w:val="nil"/>
            </w:tcBorders>
            <w:shd w:val="clear" w:color="auto" w:fill="auto"/>
            <w:tcMar>
              <w:top w:w="20" w:type="dxa"/>
              <w:left w:w="20" w:type="dxa"/>
              <w:bottom w:w="0" w:type="dxa"/>
              <w:right w:w="20" w:type="dxa"/>
            </w:tcMar>
            <w:vAlign w:val="bottom"/>
            <w:hideMark/>
          </w:tcPr>
          <w:p w14:paraId="2ADCF110" w14:textId="77777777" w:rsidR="00D76FCE" w:rsidRPr="00D76FCE" w:rsidRDefault="00D76FCE" w:rsidP="00D76FCE">
            <w:r w:rsidRPr="00D76FCE">
              <w:t>Return</w:t>
            </w:r>
          </w:p>
        </w:tc>
        <w:tc>
          <w:tcPr>
            <w:tcW w:w="2321" w:type="dxa"/>
            <w:tcBorders>
              <w:top w:val="nil"/>
              <w:left w:val="nil"/>
              <w:bottom w:val="nil"/>
              <w:right w:val="nil"/>
            </w:tcBorders>
            <w:shd w:val="clear" w:color="auto" w:fill="auto"/>
            <w:tcMar>
              <w:top w:w="20" w:type="dxa"/>
              <w:left w:w="20" w:type="dxa"/>
              <w:bottom w:w="0" w:type="dxa"/>
              <w:right w:w="20" w:type="dxa"/>
            </w:tcMar>
            <w:vAlign w:val="bottom"/>
            <w:hideMark/>
          </w:tcPr>
          <w:p w14:paraId="7918B067" w14:textId="77777777" w:rsidR="00D76FCE" w:rsidRPr="00D76FCE" w:rsidRDefault="00D76FCE" w:rsidP="00D76FCE">
            <w:proofErr w:type="spellStart"/>
            <w:r w:rsidRPr="00D76FCE">
              <w:t>Prob</w:t>
            </w:r>
            <w:proofErr w:type="spellEnd"/>
            <w:r w:rsidRPr="00D76FCE">
              <w:t xml:space="preserve"> * Return</w:t>
            </w:r>
          </w:p>
        </w:tc>
      </w:tr>
      <w:tr w:rsidR="00D76FCE" w:rsidRPr="00D76FCE" w14:paraId="515B91B1" w14:textId="77777777" w:rsidTr="00D76FCE">
        <w:trPr>
          <w:trHeight w:val="192"/>
        </w:trPr>
        <w:tc>
          <w:tcPr>
            <w:tcW w:w="4023" w:type="dxa"/>
            <w:tcBorders>
              <w:top w:val="nil"/>
              <w:left w:val="nil"/>
              <w:bottom w:val="nil"/>
              <w:right w:val="nil"/>
            </w:tcBorders>
            <w:shd w:val="clear" w:color="auto" w:fill="auto"/>
            <w:tcMar>
              <w:top w:w="20" w:type="dxa"/>
              <w:left w:w="20" w:type="dxa"/>
              <w:bottom w:w="0" w:type="dxa"/>
              <w:right w:w="20" w:type="dxa"/>
            </w:tcMar>
            <w:vAlign w:val="bottom"/>
            <w:hideMark/>
          </w:tcPr>
          <w:p w14:paraId="474B964A" w14:textId="77777777" w:rsidR="00D76FCE" w:rsidRPr="00D76FCE" w:rsidRDefault="00D76FCE" w:rsidP="00D76FCE">
            <w:r w:rsidRPr="00D76FCE">
              <w:t>Boom</w:t>
            </w:r>
          </w:p>
        </w:tc>
        <w:tc>
          <w:tcPr>
            <w:tcW w:w="2011" w:type="dxa"/>
            <w:tcBorders>
              <w:top w:val="nil"/>
              <w:left w:val="nil"/>
              <w:bottom w:val="nil"/>
              <w:right w:val="nil"/>
            </w:tcBorders>
            <w:shd w:val="clear" w:color="auto" w:fill="auto"/>
            <w:tcMar>
              <w:top w:w="20" w:type="dxa"/>
              <w:left w:w="20" w:type="dxa"/>
              <w:bottom w:w="0" w:type="dxa"/>
              <w:right w:w="20" w:type="dxa"/>
            </w:tcMar>
            <w:vAlign w:val="bottom"/>
            <w:hideMark/>
          </w:tcPr>
          <w:p w14:paraId="39D1764A" w14:textId="77777777" w:rsidR="00D76FCE" w:rsidRPr="00D76FCE" w:rsidRDefault="00D76FCE" w:rsidP="00D76FCE">
            <w:r w:rsidRPr="00D76FCE">
              <w:t>30.00%</w:t>
            </w:r>
          </w:p>
        </w:tc>
        <w:tc>
          <w:tcPr>
            <w:tcW w:w="2011" w:type="dxa"/>
            <w:tcBorders>
              <w:top w:val="nil"/>
              <w:left w:val="nil"/>
              <w:bottom w:val="nil"/>
              <w:right w:val="nil"/>
            </w:tcBorders>
            <w:shd w:val="clear" w:color="auto" w:fill="auto"/>
            <w:tcMar>
              <w:top w:w="20" w:type="dxa"/>
              <w:left w:w="20" w:type="dxa"/>
              <w:bottom w:w="0" w:type="dxa"/>
              <w:right w:w="20" w:type="dxa"/>
            </w:tcMar>
            <w:vAlign w:val="bottom"/>
            <w:hideMark/>
          </w:tcPr>
          <w:p w14:paraId="33B3D3D1" w14:textId="77777777" w:rsidR="00D76FCE" w:rsidRPr="00D76FCE" w:rsidRDefault="00D76FCE" w:rsidP="00D76FCE">
            <w:r w:rsidRPr="00D76FCE">
              <w:t>100.00%</w:t>
            </w:r>
          </w:p>
        </w:tc>
        <w:tc>
          <w:tcPr>
            <w:tcW w:w="2321" w:type="dxa"/>
            <w:tcBorders>
              <w:top w:val="nil"/>
              <w:left w:val="nil"/>
              <w:bottom w:val="nil"/>
              <w:right w:val="nil"/>
            </w:tcBorders>
            <w:shd w:val="clear" w:color="auto" w:fill="auto"/>
            <w:tcMar>
              <w:top w:w="20" w:type="dxa"/>
              <w:left w:w="20" w:type="dxa"/>
              <w:bottom w:w="0" w:type="dxa"/>
              <w:right w:w="20" w:type="dxa"/>
            </w:tcMar>
            <w:vAlign w:val="bottom"/>
            <w:hideMark/>
          </w:tcPr>
          <w:p w14:paraId="14D1D816" w14:textId="77777777" w:rsidR="00D76FCE" w:rsidRPr="00D76FCE" w:rsidRDefault="00D76FCE" w:rsidP="00D76FCE">
            <w:r w:rsidRPr="00D76FCE">
              <w:t>30.00000%</w:t>
            </w:r>
          </w:p>
        </w:tc>
      </w:tr>
      <w:tr w:rsidR="00D76FCE" w:rsidRPr="00D76FCE" w14:paraId="022AE82C" w14:textId="77777777" w:rsidTr="00D76FCE">
        <w:trPr>
          <w:trHeight w:val="192"/>
        </w:trPr>
        <w:tc>
          <w:tcPr>
            <w:tcW w:w="4023" w:type="dxa"/>
            <w:tcBorders>
              <w:top w:val="nil"/>
              <w:left w:val="nil"/>
              <w:bottom w:val="nil"/>
              <w:right w:val="nil"/>
            </w:tcBorders>
            <w:shd w:val="clear" w:color="auto" w:fill="auto"/>
            <w:tcMar>
              <w:top w:w="20" w:type="dxa"/>
              <w:left w:w="20" w:type="dxa"/>
              <w:bottom w:w="0" w:type="dxa"/>
              <w:right w:w="20" w:type="dxa"/>
            </w:tcMar>
            <w:vAlign w:val="bottom"/>
            <w:hideMark/>
          </w:tcPr>
          <w:p w14:paraId="40F11B00" w14:textId="77777777" w:rsidR="00D76FCE" w:rsidRPr="00D76FCE" w:rsidRDefault="00D76FCE" w:rsidP="00D76FCE">
            <w:r w:rsidRPr="00D76FCE">
              <w:lastRenderedPageBreak/>
              <w:t>Normal</w:t>
            </w:r>
          </w:p>
        </w:tc>
        <w:tc>
          <w:tcPr>
            <w:tcW w:w="2011" w:type="dxa"/>
            <w:tcBorders>
              <w:top w:val="nil"/>
              <w:left w:val="nil"/>
              <w:bottom w:val="nil"/>
              <w:right w:val="nil"/>
            </w:tcBorders>
            <w:shd w:val="clear" w:color="auto" w:fill="auto"/>
            <w:tcMar>
              <w:top w:w="20" w:type="dxa"/>
              <w:left w:w="20" w:type="dxa"/>
              <w:bottom w:w="0" w:type="dxa"/>
              <w:right w:w="20" w:type="dxa"/>
            </w:tcMar>
            <w:vAlign w:val="bottom"/>
            <w:hideMark/>
          </w:tcPr>
          <w:p w14:paraId="7CA5B7D2" w14:textId="77777777" w:rsidR="00D76FCE" w:rsidRPr="00D76FCE" w:rsidRDefault="00D76FCE" w:rsidP="00D76FCE">
            <w:r w:rsidRPr="00D76FCE">
              <w:t>40.00%</w:t>
            </w:r>
          </w:p>
        </w:tc>
        <w:tc>
          <w:tcPr>
            <w:tcW w:w="2011" w:type="dxa"/>
            <w:tcBorders>
              <w:top w:val="nil"/>
              <w:left w:val="nil"/>
              <w:bottom w:val="nil"/>
              <w:right w:val="nil"/>
            </w:tcBorders>
            <w:shd w:val="clear" w:color="auto" w:fill="auto"/>
            <w:tcMar>
              <w:top w:w="20" w:type="dxa"/>
              <w:left w:w="20" w:type="dxa"/>
              <w:bottom w:w="0" w:type="dxa"/>
              <w:right w:w="20" w:type="dxa"/>
            </w:tcMar>
            <w:vAlign w:val="bottom"/>
            <w:hideMark/>
          </w:tcPr>
          <w:p w14:paraId="7C89F7E9" w14:textId="77777777" w:rsidR="00D76FCE" w:rsidRPr="00D76FCE" w:rsidRDefault="00D76FCE" w:rsidP="00D76FCE">
            <w:r w:rsidRPr="00D76FCE">
              <w:t>15.00%</w:t>
            </w:r>
          </w:p>
        </w:tc>
        <w:tc>
          <w:tcPr>
            <w:tcW w:w="2321" w:type="dxa"/>
            <w:tcBorders>
              <w:top w:val="nil"/>
              <w:left w:val="nil"/>
              <w:bottom w:val="nil"/>
              <w:right w:val="nil"/>
            </w:tcBorders>
            <w:shd w:val="clear" w:color="auto" w:fill="auto"/>
            <w:tcMar>
              <w:top w:w="20" w:type="dxa"/>
              <w:left w:w="20" w:type="dxa"/>
              <w:bottom w:w="0" w:type="dxa"/>
              <w:right w:w="20" w:type="dxa"/>
            </w:tcMar>
            <w:vAlign w:val="bottom"/>
            <w:hideMark/>
          </w:tcPr>
          <w:p w14:paraId="53F892F7" w14:textId="77777777" w:rsidR="00D76FCE" w:rsidRPr="00D76FCE" w:rsidRDefault="00D76FCE" w:rsidP="00D76FCE">
            <w:r w:rsidRPr="00D76FCE">
              <w:t>6.00000%</w:t>
            </w:r>
          </w:p>
        </w:tc>
      </w:tr>
      <w:tr w:rsidR="00D76FCE" w:rsidRPr="00D76FCE" w14:paraId="5A02A2DA" w14:textId="77777777" w:rsidTr="00D76FCE">
        <w:trPr>
          <w:trHeight w:val="192"/>
        </w:trPr>
        <w:tc>
          <w:tcPr>
            <w:tcW w:w="4023" w:type="dxa"/>
            <w:tcBorders>
              <w:top w:val="nil"/>
              <w:left w:val="nil"/>
              <w:bottom w:val="nil"/>
              <w:right w:val="nil"/>
            </w:tcBorders>
            <w:shd w:val="clear" w:color="auto" w:fill="auto"/>
            <w:tcMar>
              <w:top w:w="20" w:type="dxa"/>
              <w:left w:w="20" w:type="dxa"/>
              <w:bottom w:w="0" w:type="dxa"/>
              <w:right w:w="20" w:type="dxa"/>
            </w:tcMar>
            <w:vAlign w:val="bottom"/>
            <w:hideMark/>
          </w:tcPr>
          <w:p w14:paraId="43199CAD" w14:textId="77777777" w:rsidR="00D76FCE" w:rsidRPr="00D76FCE" w:rsidRDefault="00D76FCE" w:rsidP="00D76FCE">
            <w:r w:rsidRPr="00D76FCE">
              <w:t>Recession</w:t>
            </w:r>
          </w:p>
        </w:tc>
        <w:tc>
          <w:tcPr>
            <w:tcW w:w="2011" w:type="dxa"/>
            <w:tcBorders>
              <w:top w:val="nil"/>
              <w:left w:val="nil"/>
              <w:bottom w:val="nil"/>
              <w:right w:val="nil"/>
            </w:tcBorders>
            <w:shd w:val="clear" w:color="auto" w:fill="auto"/>
            <w:tcMar>
              <w:top w:w="20" w:type="dxa"/>
              <w:left w:w="20" w:type="dxa"/>
              <w:bottom w:w="0" w:type="dxa"/>
              <w:right w:w="20" w:type="dxa"/>
            </w:tcMar>
            <w:vAlign w:val="bottom"/>
            <w:hideMark/>
          </w:tcPr>
          <w:p w14:paraId="489C77A2" w14:textId="77777777" w:rsidR="00D76FCE" w:rsidRPr="00D76FCE" w:rsidRDefault="00D76FCE" w:rsidP="00D76FCE">
            <w:r w:rsidRPr="00D76FCE">
              <w:t>30.00%</w:t>
            </w:r>
          </w:p>
        </w:tc>
        <w:tc>
          <w:tcPr>
            <w:tcW w:w="2011" w:type="dxa"/>
            <w:tcBorders>
              <w:top w:val="nil"/>
              <w:left w:val="nil"/>
              <w:bottom w:val="nil"/>
              <w:right w:val="nil"/>
            </w:tcBorders>
            <w:shd w:val="clear" w:color="auto" w:fill="auto"/>
            <w:tcMar>
              <w:top w:w="20" w:type="dxa"/>
              <w:left w:w="20" w:type="dxa"/>
              <w:bottom w:w="0" w:type="dxa"/>
              <w:right w:w="20" w:type="dxa"/>
            </w:tcMar>
            <w:vAlign w:val="bottom"/>
            <w:hideMark/>
          </w:tcPr>
          <w:p w14:paraId="35A66A14" w14:textId="77777777" w:rsidR="00D76FCE" w:rsidRPr="00D76FCE" w:rsidRDefault="00D76FCE" w:rsidP="00D76FCE">
            <w:r w:rsidRPr="00D76FCE">
              <w:t>-70.00%</w:t>
            </w:r>
          </w:p>
        </w:tc>
        <w:tc>
          <w:tcPr>
            <w:tcW w:w="2321" w:type="dxa"/>
            <w:tcBorders>
              <w:top w:val="nil"/>
              <w:left w:val="nil"/>
              <w:bottom w:val="nil"/>
              <w:right w:val="nil"/>
            </w:tcBorders>
            <w:shd w:val="clear" w:color="auto" w:fill="auto"/>
            <w:tcMar>
              <w:top w:w="20" w:type="dxa"/>
              <w:left w:w="20" w:type="dxa"/>
              <w:bottom w:w="0" w:type="dxa"/>
              <w:right w:w="20" w:type="dxa"/>
            </w:tcMar>
            <w:vAlign w:val="bottom"/>
            <w:hideMark/>
          </w:tcPr>
          <w:p w14:paraId="4C404E24" w14:textId="77777777" w:rsidR="00D76FCE" w:rsidRPr="00D76FCE" w:rsidRDefault="00D76FCE" w:rsidP="00D76FCE">
            <w:r w:rsidRPr="00D76FCE">
              <w:t>-21.00000%</w:t>
            </w:r>
          </w:p>
        </w:tc>
      </w:tr>
      <w:tr w:rsidR="00D76FCE" w:rsidRPr="00D76FCE" w14:paraId="1423032A" w14:textId="77777777" w:rsidTr="00D76FCE">
        <w:trPr>
          <w:trHeight w:val="192"/>
        </w:trPr>
        <w:tc>
          <w:tcPr>
            <w:tcW w:w="4023" w:type="dxa"/>
            <w:tcBorders>
              <w:top w:val="nil"/>
              <w:left w:val="nil"/>
              <w:bottom w:val="nil"/>
              <w:right w:val="nil"/>
            </w:tcBorders>
            <w:shd w:val="clear" w:color="auto" w:fill="auto"/>
            <w:tcMar>
              <w:top w:w="20" w:type="dxa"/>
              <w:left w:w="20" w:type="dxa"/>
              <w:bottom w:w="0" w:type="dxa"/>
              <w:right w:w="20" w:type="dxa"/>
            </w:tcMar>
            <w:vAlign w:val="bottom"/>
            <w:hideMark/>
          </w:tcPr>
          <w:p w14:paraId="322E74FD" w14:textId="77777777" w:rsidR="00D76FCE" w:rsidRPr="00D76FCE" w:rsidRDefault="00D76FCE" w:rsidP="00D76FCE"/>
        </w:tc>
        <w:tc>
          <w:tcPr>
            <w:tcW w:w="2011" w:type="dxa"/>
            <w:tcBorders>
              <w:top w:val="nil"/>
              <w:left w:val="nil"/>
              <w:bottom w:val="nil"/>
              <w:right w:val="nil"/>
            </w:tcBorders>
            <w:shd w:val="clear" w:color="auto" w:fill="auto"/>
            <w:tcMar>
              <w:top w:w="20" w:type="dxa"/>
              <w:left w:w="20" w:type="dxa"/>
              <w:bottom w:w="0" w:type="dxa"/>
              <w:right w:w="20" w:type="dxa"/>
            </w:tcMar>
            <w:vAlign w:val="bottom"/>
            <w:hideMark/>
          </w:tcPr>
          <w:p w14:paraId="3B4AE80D" w14:textId="77777777" w:rsidR="00D76FCE" w:rsidRPr="00D76FCE" w:rsidRDefault="00D76FCE" w:rsidP="00D76FCE"/>
        </w:tc>
        <w:tc>
          <w:tcPr>
            <w:tcW w:w="2011" w:type="dxa"/>
            <w:tcBorders>
              <w:top w:val="nil"/>
              <w:left w:val="nil"/>
              <w:bottom w:val="nil"/>
              <w:right w:val="nil"/>
            </w:tcBorders>
            <w:shd w:val="clear" w:color="auto" w:fill="auto"/>
            <w:tcMar>
              <w:top w:w="20" w:type="dxa"/>
              <w:left w:w="20" w:type="dxa"/>
              <w:bottom w:w="0" w:type="dxa"/>
              <w:right w:w="20" w:type="dxa"/>
            </w:tcMar>
            <w:vAlign w:val="bottom"/>
            <w:hideMark/>
          </w:tcPr>
          <w:p w14:paraId="43B501E8" w14:textId="77777777" w:rsidR="00D76FCE" w:rsidRPr="00D76FCE" w:rsidRDefault="00D76FCE" w:rsidP="00D76FCE"/>
        </w:tc>
        <w:tc>
          <w:tcPr>
            <w:tcW w:w="2321" w:type="dxa"/>
            <w:tcBorders>
              <w:top w:val="nil"/>
              <w:left w:val="nil"/>
              <w:bottom w:val="nil"/>
              <w:right w:val="nil"/>
            </w:tcBorders>
            <w:shd w:val="clear" w:color="auto" w:fill="auto"/>
            <w:tcMar>
              <w:top w:w="20" w:type="dxa"/>
              <w:left w:w="20" w:type="dxa"/>
              <w:bottom w:w="0" w:type="dxa"/>
              <w:right w:w="20" w:type="dxa"/>
            </w:tcMar>
            <w:vAlign w:val="bottom"/>
            <w:hideMark/>
          </w:tcPr>
          <w:p w14:paraId="1216EA31" w14:textId="77777777" w:rsidR="00D76FCE" w:rsidRPr="00D76FCE" w:rsidRDefault="00D76FCE" w:rsidP="00D76FCE">
            <w:r w:rsidRPr="00D76FCE">
              <w:t>15.00%</w:t>
            </w:r>
          </w:p>
        </w:tc>
      </w:tr>
    </w:tbl>
    <w:p w14:paraId="1E3D1FED" w14:textId="77777777" w:rsidR="00D76FCE" w:rsidRDefault="00D76FCE" w:rsidP="00A6157C"/>
    <w:p w14:paraId="29FE8D62" w14:textId="77777777" w:rsidR="00D76FCE" w:rsidRDefault="00D76FCE" w:rsidP="00D76FCE">
      <w:r w:rsidRPr="00D76FCE">
        <w:t>The expected return is 15%</w:t>
      </w:r>
      <w:r>
        <w:t>.</w:t>
      </w:r>
    </w:p>
    <w:p w14:paraId="2582AA9E" w14:textId="77777777" w:rsidR="00D76FCE" w:rsidRDefault="00D76FCE" w:rsidP="00D76FCE"/>
    <w:p w14:paraId="20D823DA" w14:textId="77777777" w:rsidR="00D76FCE" w:rsidRDefault="00D76FCE" w:rsidP="00D76FCE">
      <w:pPr>
        <w:pStyle w:val="Heading2"/>
      </w:pPr>
      <w:r w:rsidRPr="00D76FCE">
        <w:t>Holding Period Return</w:t>
      </w:r>
    </w:p>
    <w:p w14:paraId="1EE41B5E" w14:textId="77777777" w:rsidR="00D76FCE" w:rsidRDefault="00D76FCE" w:rsidP="00D76FCE">
      <w:r>
        <w:t>Risk &amp; return: the greater the risk, the larger the return that investors expect on the asset as compensation for bearing the risk, i.e., investors are risk averse.</w:t>
      </w:r>
    </w:p>
    <w:p w14:paraId="2FFAAF54" w14:textId="77777777" w:rsidR="00D76FCE" w:rsidRDefault="00D76FCE" w:rsidP="00D76FCE">
      <w:r>
        <w:t>Quantitative measures of return</w:t>
      </w:r>
    </w:p>
    <w:p w14:paraId="3F24FC9D" w14:textId="77777777" w:rsidR="00D76FCE" w:rsidRPr="00D76FCE" w:rsidRDefault="00D76FCE" w:rsidP="00D76FCE">
      <w:r>
        <w:t xml:space="preserve">Total holding period return = capital appreciation of an asset over a period plus its income over the period as a percentage of the asset’s price at the beginning of the period, i.e.,  </w:t>
      </w:r>
    </w:p>
    <w:p w14:paraId="08FBD760" w14:textId="77777777" w:rsidR="00A6157C" w:rsidRDefault="00A6157C" w:rsidP="00D76FCE"/>
    <w:p w14:paraId="4082242A" w14:textId="77777777" w:rsidR="00A6157C" w:rsidRDefault="00D76FCE" w:rsidP="00D76FCE">
      <w:r w:rsidRPr="00D76FCE">
        <w:rPr>
          <w:noProof/>
        </w:rPr>
        <w:drawing>
          <wp:inline distT="0" distB="0" distL="0" distR="0" wp14:anchorId="74453562" wp14:editId="1E1DE7F7">
            <wp:extent cx="5394960" cy="9677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inline>
        </w:drawing>
      </w:r>
    </w:p>
    <w:p w14:paraId="5BB23221" w14:textId="77777777" w:rsidR="00D76FCE" w:rsidRDefault="00D76FCE" w:rsidP="00D76FCE">
      <w:r>
        <w:t>The return over the period in which an investment is held</w:t>
      </w:r>
    </w:p>
    <w:p w14:paraId="5E39F1C8" w14:textId="77777777" w:rsidR="00D76FCE" w:rsidRDefault="00D76FCE" w:rsidP="00D76FCE">
      <w:r>
        <w:t>HPR = (End Price – Beginning Price)/Beginning Price</w:t>
      </w:r>
    </w:p>
    <w:p w14:paraId="6FFD5EAB" w14:textId="77777777" w:rsidR="00D76FCE" w:rsidRDefault="00D76FCE" w:rsidP="00D76FCE">
      <w:r>
        <w:t>If dividends are paid, you have to include them.</w:t>
      </w:r>
    </w:p>
    <w:p w14:paraId="6625BE3B" w14:textId="77777777" w:rsidR="00D76FCE" w:rsidRDefault="00D76FCE" w:rsidP="00D76FCE">
      <w:r>
        <w:t>HPR = (End Price – Beginning Price + Dividends)/Beginning Price</w:t>
      </w:r>
    </w:p>
    <w:p w14:paraId="50FFBDDE" w14:textId="77777777" w:rsidR="005C0790" w:rsidRDefault="005C0790" w:rsidP="00D76FCE">
      <w:r w:rsidRPr="005C0790">
        <w:t>To annualize the returns, you need to find the annual return.  This is simply the HPR that you calculated divided by the number of years .</w:t>
      </w:r>
    </w:p>
    <w:p w14:paraId="7E23BEB8" w14:textId="77777777" w:rsidR="00D76FCE" w:rsidRDefault="00D76FCE" w:rsidP="00D76FCE"/>
    <w:p w14:paraId="3C588737" w14:textId="77777777" w:rsidR="00D76FCE" w:rsidRDefault="00D76FCE" w:rsidP="00D76FCE">
      <w:pPr>
        <w:pStyle w:val="Heading2"/>
      </w:pPr>
      <w:r w:rsidRPr="00D76FCE">
        <w:t>Effective Annual Rate (Stock)</w:t>
      </w:r>
    </w:p>
    <w:p w14:paraId="2B4811E3" w14:textId="77777777" w:rsidR="00D76FCE" w:rsidRDefault="00D76FCE" w:rsidP="00D76FCE">
      <w:r>
        <w:t>Can apply EAR to Stock.</w:t>
      </w:r>
    </w:p>
    <w:p w14:paraId="06E30131" w14:textId="77777777" w:rsidR="00D76FCE" w:rsidRDefault="00D76FCE" w:rsidP="00D76FCE">
      <w:r>
        <w:t>The annual rate of interest actually bearing earned/charged as opposed to the stated rate</w:t>
      </w:r>
    </w:p>
    <w:p w14:paraId="4DB17277" w14:textId="77777777" w:rsidR="00D76FCE" w:rsidRDefault="00D76FCE" w:rsidP="00D76FCE">
      <w:r>
        <w:t>Formula: ((PIR +1)^Compounding Frequency) -1</w:t>
      </w:r>
    </w:p>
    <w:p w14:paraId="2B812BE1" w14:textId="77777777" w:rsidR="00D76FCE" w:rsidRDefault="00D76FCE" w:rsidP="00D76FCE">
      <w:r>
        <w:t>PIR = (End Price + Dividends – Initial Price)/Initial Price</w:t>
      </w:r>
    </w:p>
    <w:p w14:paraId="157D18C1" w14:textId="77777777" w:rsidR="00D76FCE" w:rsidRDefault="00D76FCE" w:rsidP="00D76FCE"/>
    <w:p w14:paraId="7B2B588F" w14:textId="77777777" w:rsidR="00D76FCE" w:rsidRDefault="00726B1E" w:rsidP="00726B1E">
      <w:pPr>
        <w:pStyle w:val="Heading2"/>
      </w:pPr>
      <w:r w:rsidRPr="00726B1E">
        <w:lastRenderedPageBreak/>
        <w:t>Variance</w:t>
      </w:r>
    </w:p>
    <w:p w14:paraId="48F16BD9" w14:textId="77777777" w:rsidR="00726B1E" w:rsidRDefault="00726B1E" w:rsidP="00726B1E">
      <w:r>
        <w:t>Most investors are risk adverse.  They want to minimize the amount of risk they must accept in order to achieve a specific level of return.</w:t>
      </w:r>
    </w:p>
    <w:p w14:paraId="70C32E15" w14:textId="77777777" w:rsidR="00726B1E" w:rsidRDefault="00726B1E" w:rsidP="00726B1E">
      <w:r>
        <w:t>Variance tells the investor the range of possible outcomes.</w:t>
      </w:r>
    </w:p>
    <w:p w14:paraId="0ACBDC0F" w14:textId="77777777" w:rsidR="00726B1E" w:rsidRDefault="00726B1E" w:rsidP="00726B1E">
      <w:r>
        <w:t>Quantitative measures of risk:</w:t>
      </w:r>
    </w:p>
    <w:p w14:paraId="49C5EBD0" w14:textId="77777777" w:rsidR="00726B1E" w:rsidRPr="00E36F64" w:rsidRDefault="00726B1E" w:rsidP="00E36F64">
      <w:pPr>
        <w:rPr>
          <w:rFonts w:eastAsiaTheme="minorEastAsia"/>
        </w:rPr>
      </w:pPr>
      <w:r>
        <w:t xml:space="preserve">The variance </w:t>
      </w:r>
      <w:r w:rsidR="00E36F64">
        <w:t>(</w:t>
      </w:r>
      <m:oMath>
        <m:sSup>
          <m:sSupPr>
            <m:ctrlPr>
              <w:rPr>
                <w:rFonts w:ascii="Cambria Math" w:hAnsi="Cambria Math"/>
              </w:rPr>
            </m:ctrlPr>
          </m:sSupPr>
          <m:e>
            <m:r>
              <m:rPr>
                <m:sty m:val="p"/>
              </m:rPr>
              <w:rPr>
                <w:rFonts w:ascii="Cambria Math" w:hAnsi="Cambria Math"/>
              </w:rPr>
              <m:t>σ</m:t>
            </m:r>
          </m:e>
          <m:sup>
            <m:r>
              <m:rPr>
                <m:sty m:val="p"/>
              </m:rPr>
              <w:rPr>
                <w:rFonts w:ascii="Cambria Math"/>
              </w:rPr>
              <m:t>2</m:t>
            </m:r>
          </m:sup>
        </m:sSup>
      </m:oMath>
      <w:r w:rsidR="00E36F64">
        <w:rPr>
          <w:rFonts w:eastAsiaTheme="minorEastAsia"/>
        </w:rPr>
        <w:t>)</w:t>
      </w:r>
      <w:r>
        <w:t xml:space="preserve"> and its squared root (i.e., </w:t>
      </w:r>
      <w:r w:rsidR="00E36F64" w:rsidRPr="00E36F64">
        <w:t>σ</w:t>
      </w:r>
      <w:r>
        <w:t xml:space="preserve"> or the standard deviation) are the two basic measures of risk in finance. </w:t>
      </w:r>
      <m:oMath>
        <m:sSup>
          <m:sSupPr>
            <m:ctrlPr>
              <w:rPr>
                <w:rFonts w:ascii="Cambria Math" w:hAnsi="Cambria Math"/>
                <w:i/>
              </w:rPr>
            </m:ctrlPr>
          </m:sSupPr>
          <m:e>
            <m:r>
              <w:rPr>
                <w:rFonts w:ascii="Cambria Math" w:hAnsi="Cambria Math"/>
              </w:rPr>
              <m:t>σ</m:t>
            </m:r>
          </m:e>
          <m:sup>
            <m:r>
              <w:rPr>
                <w:rFonts w:ascii="Cambria Math" w:hAnsi="Cambria Math"/>
              </w:rPr>
              <m:t>2</m:t>
            </m:r>
          </m:sup>
        </m:sSup>
      </m:oMath>
      <w:r>
        <w:t xml:space="preserve">or </w:t>
      </w:r>
      <w:r w:rsidR="00E36F64" w:rsidRPr="00E36F64">
        <w:t>σ</w:t>
      </w:r>
      <w:r>
        <w:t xml:space="preserve"> of returns on an asset show how spread out are the returns on asset.</w:t>
      </w:r>
    </w:p>
    <w:p w14:paraId="48F46586" w14:textId="77777777" w:rsidR="00E36F64" w:rsidRPr="00E36F64" w:rsidRDefault="00726B1E" w:rsidP="00E36F64">
      <w:r>
        <w:t>The variance</w:t>
      </w:r>
      <w:r w:rsidR="00E36F64">
        <w:t xml:space="preserve"> </w:t>
      </w:r>
      <m:oMath>
        <m:sSup>
          <m:sSupPr>
            <m:ctrlPr>
              <w:rPr>
                <w:rFonts w:ascii="Cambria Math" w:hAnsi="Cambria Math"/>
              </w:rPr>
            </m:ctrlPr>
          </m:sSupPr>
          <m:e>
            <m:r>
              <m:rPr>
                <m:sty m:val="p"/>
              </m:rPr>
              <w:rPr>
                <w:rFonts w:ascii="Cambria Math" w:hAnsi="Cambria Math"/>
              </w:rPr>
              <m:t>σ</m:t>
            </m:r>
          </m:e>
          <m:sup>
            <m:r>
              <m:rPr>
                <m:sty m:val="p"/>
              </m:rPr>
              <w:rPr>
                <w:rFonts w:ascii="Cambria Math"/>
              </w:rPr>
              <m:t>2</m:t>
            </m:r>
          </m:sup>
        </m:sSup>
      </m:oMath>
      <w:r>
        <w:t>: squares the difference between each possible return and the mean (expected) return, then multiplies each      ‘squared difference’ by its associated probability before summing them up; i.e.,</w:t>
      </w:r>
    </w:p>
    <w:p w14:paraId="62E7B326" w14:textId="77777777" w:rsidR="00E36F64" w:rsidRDefault="00E36F64" w:rsidP="00E36F64">
      <w:pPr>
        <w:rPr>
          <w:rFonts w:eastAsiaTheme="minorEastAsia"/>
        </w:rPr>
      </w:pPr>
      <w:r w:rsidRPr="00E36F64">
        <w:rPr>
          <w:noProof/>
        </w:rPr>
        <w:drawing>
          <wp:inline distT="0" distB="0" distL="0" distR="0" wp14:anchorId="7C58AFD7" wp14:editId="715EC563">
            <wp:extent cx="5021580" cy="9677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1580" cy="967740"/>
                    </a:xfrm>
                    <a:prstGeom prst="rect">
                      <a:avLst/>
                    </a:prstGeom>
                    <a:noFill/>
                    <a:ln>
                      <a:noFill/>
                    </a:ln>
                  </pic:spPr>
                </pic:pic>
              </a:graphicData>
            </a:graphic>
          </wp:inline>
        </w:drawing>
      </w:r>
    </w:p>
    <w:p w14:paraId="6DD0A11A" w14:textId="77777777" w:rsidR="00A54362" w:rsidRDefault="00A54362" w:rsidP="00E36F64">
      <w:pPr>
        <w:rPr>
          <w:rFonts w:eastAsiaTheme="minorEastAsia"/>
        </w:rPr>
      </w:pPr>
    </w:p>
    <w:p w14:paraId="77C15CA6" w14:textId="77777777" w:rsidR="00A54362" w:rsidRDefault="00334036" w:rsidP="00334036">
      <w:pPr>
        <w:pStyle w:val="Heading2"/>
        <w:rPr>
          <w:rFonts w:eastAsiaTheme="minorEastAsia"/>
        </w:rPr>
      </w:pPr>
      <w:r w:rsidRPr="00334036">
        <w:rPr>
          <w:rFonts w:eastAsiaTheme="minorEastAsia"/>
        </w:rPr>
        <w:t>Standard Deviation</w:t>
      </w:r>
    </w:p>
    <w:p w14:paraId="500C5666" w14:textId="77777777" w:rsidR="00334036" w:rsidRDefault="00334036" w:rsidP="00334036">
      <w:pPr>
        <w:pStyle w:val="ListParagraph"/>
        <w:numPr>
          <w:ilvl w:val="0"/>
          <w:numId w:val="4"/>
        </w:numPr>
      </w:pPr>
      <w:r>
        <w:t>Stock Risk is measured by the standard deviation</w:t>
      </w:r>
    </w:p>
    <w:p w14:paraId="045B57E8" w14:textId="77777777" w:rsidR="00334036" w:rsidRDefault="00334036" w:rsidP="00334036">
      <w:pPr>
        <w:pStyle w:val="ListParagraph"/>
        <w:numPr>
          <w:ilvl w:val="0"/>
          <w:numId w:val="4"/>
        </w:numPr>
      </w:pPr>
      <w:r>
        <w:t>The higher the SD, the higher the risk</w:t>
      </w:r>
    </w:p>
    <w:p w14:paraId="3F481262" w14:textId="77777777" w:rsidR="00334036" w:rsidRDefault="00334036" w:rsidP="00334036">
      <w:pPr>
        <w:pStyle w:val="ListParagraph"/>
        <w:numPr>
          <w:ilvl w:val="0"/>
          <w:numId w:val="4"/>
        </w:numPr>
      </w:pPr>
      <w:r>
        <w:t>Measures how far from the expected return value the actual return might be</w:t>
      </w:r>
    </w:p>
    <w:p w14:paraId="4AF60ECB" w14:textId="77777777" w:rsidR="00334036" w:rsidRDefault="00334036" w:rsidP="00334036">
      <w:pPr>
        <w:pStyle w:val="ListParagraph"/>
        <w:numPr>
          <w:ilvl w:val="0"/>
          <w:numId w:val="4"/>
        </w:numPr>
      </w:pPr>
      <w:r>
        <w:t>Two stocks may have the same level of return but differing amounts of risk</w:t>
      </w:r>
    </w:p>
    <w:p w14:paraId="5CA26FBD" w14:textId="77777777" w:rsidR="00334036" w:rsidRDefault="00334036" w:rsidP="00334036">
      <w:pPr>
        <w:pStyle w:val="ListParagraph"/>
        <w:numPr>
          <w:ilvl w:val="0"/>
          <w:numId w:val="4"/>
        </w:numPr>
      </w:pPr>
      <w:r>
        <w:t>Standard Deviation allows the investor to see which portfolio creates an overall level of risk that is acceptable</w:t>
      </w:r>
    </w:p>
    <w:p w14:paraId="5EA59860" w14:textId="77777777" w:rsidR="00334036" w:rsidRDefault="00334036" w:rsidP="00334036">
      <w:r>
        <w:t xml:space="preserve">That σ and/or </w:t>
      </w:r>
      <m:oMath>
        <m:sSup>
          <m:sSupPr>
            <m:ctrlPr>
              <w:rPr>
                <w:rFonts w:ascii="Cambria Math" w:hAnsi="Cambria Math"/>
              </w:rPr>
            </m:ctrlPr>
          </m:sSupPr>
          <m:e>
            <m:r>
              <m:rPr>
                <m:sty m:val="p"/>
              </m:rPr>
              <w:rPr>
                <w:rFonts w:ascii="Cambria Math" w:hAnsi="Cambria Math"/>
              </w:rPr>
              <m:t>σ</m:t>
            </m:r>
          </m:e>
          <m:sup>
            <m:r>
              <m:rPr>
                <m:sty m:val="p"/>
              </m:rPr>
              <w:rPr>
                <w:rFonts w:ascii="Cambria Math"/>
              </w:rPr>
              <m:t>2</m:t>
            </m:r>
          </m:sup>
        </m:sSup>
      </m:oMath>
      <w:r>
        <w:t xml:space="preserve"> are good measures of risk is best illustrated if one assumes that returns have a normal distribution.</w:t>
      </w:r>
    </w:p>
    <w:p w14:paraId="11D3783D" w14:textId="77777777" w:rsidR="00334036" w:rsidRDefault="00334036" w:rsidP="00334036">
      <w:r>
        <w:t>Standard deviation example:</w:t>
      </w:r>
    </w:p>
    <w:tbl>
      <w:tblPr>
        <w:tblW w:w="4199" w:type="dxa"/>
        <w:tblCellMar>
          <w:left w:w="0" w:type="dxa"/>
          <w:right w:w="0" w:type="dxa"/>
        </w:tblCellMar>
        <w:tblLook w:val="0420" w:firstRow="1" w:lastRow="0" w:firstColumn="0" w:lastColumn="0" w:noHBand="0" w:noVBand="1"/>
      </w:tblPr>
      <w:tblGrid>
        <w:gridCol w:w="1118"/>
        <w:gridCol w:w="1256"/>
        <w:gridCol w:w="899"/>
        <w:gridCol w:w="926"/>
      </w:tblGrid>
      <w:tr w:rsidR="00334036" w:rsidRPr="00334036" w14:paraId="587CBC6B" w14:textId="77777777" w:rsidTr="00334036">
        <w:trPr>
          <w:trHeight w:val="699"/>
        </w:trPr>
        <w:tc>
          <w:tcPr>
            <w:tcW w:w="4199" w:type="dxa"/>
            <w:gridSpan w:val="4"/>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8B87C12" w14:textId="77777777" w:rsidR="00334036" w:rsidRPr="00334036" w:rsidRDefault="00334036" w:rsidP="00334036">
            <w:pPr>
              <w:rPr>
                <w:rFonts w:eastAsiaTheme="minorEastAsia"/>
              </w:rPr>
            </w:pPr>
            <w:r w:rsidRPr="00334036">
              <w:rPr>
                <w:rFonts w:eastAsiaTheme="minorEastAsia"/>
                <w:b/>
                <w:bCs/>
              </w:rPr>
              <w:t>Stock A: Exp. Return = 5%</w:t>
            </w:r>
          </w:p>
        </w:tc>
      </w:tr>
      <w:tr w:rsidR="00334036" w:rsidRPr="00334036" w14:paraId="03ADF8CF" w14:textId="77777777" w:rsidTr="00334036">
        <w:trPr>
          <w:trHeight w:val="699"/>
        </w:trPr>
        <w:tc>
          <w:tcPr>
            <w:tcW w:w="101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45534B4" w14:textId="77777777" w:rsidR="00334036" w:rsidRPr="00334036" w:rsidRDefault="00334036" w:rsidP="00334036">
            <w:pPr>
              <w:rPr>
                <w:rFonts w:eastAsiaTheme="minorEastAsia"/>
              </w:rPr>
            </w:pPr>
            <w:r w:rsidRPr="00334036">
              <w:rPr>
                <w:rFonts w:eastAsiaTheme="minorEastAsia"/>
              </w:rPr>
              <w:t>Outcome</w:t>
            </w:r>
          </w:p>
        </w:tc>
        <w:tc>
          <w:tcPr>
            <w:tcW w:w="116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3D3C372" w14:textId="77777777" w:rsidR="00334036" w:rsidRPr="00334036" w:rsidRDefault="00334036" w:rsidP="00334036">
            <w:pPr>
              <w:rPr>
                <w:rFonts w:eastAsiaTheme="minorEastAsia"/>
              </w:rPr>
            </w:pPr>
            <w:r w:rsidRPr="00334036">
              <w:rPr>
                <w:rFonts w:eastAsiaTheme="minorEastAsia"/>
              </w:rPr>
              <w:t>Probability</w:t>
            </w:r>
          </w:p>
        </w:tc>
        <w:tc>
          <w:tcPr>
            <w:tcW w:w="792"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DFDAF07" w14:textId="77777777" w:rsidR="00334036" w:rsidRPr="00334036" w:rsidRDefault="00334036" w:rsidP="00334036">
            <w:pPr>
              <w:rPr>
                <w:rFonts w:eastAsiaTheme="minorEastAsia"/>
              </w:rPr>
            </w:pPr>
            <w:r w:rsidRPr="00334036">
              <w:rPr>
                <w:rFonts w:eastAsiaTheme="minorEastAsia"/>
              </w:rPr>
              <w:t>Return</w:t>
            </w:r>
          </w:p>
        </w:tc>
        <w:tc>
          <w:tcPr>
            <w:tcW w:w="122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8306560" w14:textId="77777777" w:rsidR="00334036" w:rsidRPr="00334036" w:rsidRDefault="00334036" w:rsidP="00334036">
            <w:pPr>
              <w:rPr>
                <w:rFonts w:eastAsiaTheme="minorEastAsia"/>
              </w:rPr>
            </w:pPr>
            <w:r w:rsidRPr="00334036">
              <w:rPr>
                <w:rFonts w:eastAsiaTheme="minorEastAsia"/>
              </w:rPr>
              <w:t>Exp. Return</w:t>
            </w:r>
          </w:p>
        </w:tc>
      </w:tr>
      <w:tr w:rsidR="00334036" w:rsidRPr="00334036" w14:paraId="64741993" w14:textId="77777777" w:rsidTr="00334036">
        <w:trPr>
          <w:trHeight w:val="699"/>
        </w:trPr>
        <w:tc>
          <w:tcPr>
            <w:tcW w:w="101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42EC403" w14:textId="77777777" w:rsidR="00334036" w:rsidRPr="00334036" w:rsidRDefault="00334036" w:rsidP="00334036">
            <w:pPr>
              <w:rPr>
                <w:rFonts w:eastAsiaTheme="minorEastAsia"/>
              </w:rPr>
            </w:pPr>
            <w:r w:rsidRPr="00334036">
              <w:rPr>
                <w:rFonts w:eastAsiaTheme="minorEastAsia"/>
              </w:rPr>
              <w:t>Good</w:t>
            </w:r>
          </w:p>
        </w:tc>
        <w:tc>
          <w:tcPr>
            <w:tcW w:w="116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1228460" w14:textId="77777777" w:rsidR="00334036" w:rsidRPr="00334036" w:rsidRDefault="00334036" w:rsidP="00334036">
            <w:pPr>
              <w:rPr>
                <w:rFonts w:eastAsiaTheme="minorEastAsia"/>
              </w:rPr>
            </w:pPr>
            <w:r w:rsidRPr="00334036">
              <w:rPr>
                <w:rFonts w:eastAsiaTheme="minorEastAsia"/>
              </w:rPr>
              <w:t>.5</w:t>
            </w:r>
          </w:p>
        </w:tc>
        <w:tc>
          <w:tcPr>
            <w:tcW w:w="79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43D362F" w14:textId="77777777" w:rsidR="00334036" w:rsidRPr="00334036" w:rsidRDefault="00334036" w:rsidP="00334036">
            <w:pPr>
              <w:rPr>
                <w:rFonts w:eastAsiaTheme="minorEastAsia"/>
              </w:rPr>
            </w:pPr>
            <w:r w:rsidRPr="00334036">
              <w:rPr>
                <w:rFonts w:eastAsiaTheme="minorEastAsia"/>
              </w:rPr>
              <w:t>7%</w:t>
            </w:r>
          </w:p>
        </w:tc>
        <w:tc>
          <w:tcPr>
            <w:tcW w:w="122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B5484B7" w14:textId="77777777" w:rsidR="00334036" w:rsidRPr="00334036" w:rsidRDefault="00334036" w:rsidP="00334036">
            <w:pPr>
              <w:rPr>
                <w:rFonts w:eastAsiaTheme="minorEastAsia"/>
              </w:rPr>
            </w:pPr>
            <w:r w:rsidRPr="00334036">
              <w:rPr>
                <w:rFonts w:eastAsiaTheme="minorEastAsia"/>
              </w:rPr>
              <w:t>3.5%</w:t>
            </w:r>
          </w:p>
        </w:tc>
      </w:tr>
      <w:tr w:rsidR="00334036" w:rsidRPr="00334036" w14:paraId="16F5F4CF" w14:textId="77777777" w:rsidTr="00334036">
        <w:trPr>
          <w:trHeight w:val="699"/>
        </w:trPr>
        <w:tc>
          <w:tcPr>
            <w:tcW w:w="101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50605FA" w14:textId="77777777" w:rsidR="00334036" w:rsidRPr="00334036" w:rsidRDefault="00334036" w:rsidP="00334036">
            <w:pPr>
              <w:rPr>
                <w:rFonts w:eastAsiaTheme="minorEastAsia"/>
              </w:rPr>
            </w:pPr>
            <w:r w:rsidRPr="00334036">
              <w:rPr>
                <w:rFonts w:eastAsiaTheme="minorEastAsia"/>
              </w:rPr>
              <w:t>Bad</w:t>
            </w:r>
          </w:p>
        </w:tc>
        <w:tc>
          <w:tcPr>
            <w:tcW w:w="116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3201F09" w14:textId="77777777" w:rsidR="00334036" w:rsidRPr="00334036" w:rsidRDefault="00334036" w:rsidP="00334036">
            <w:pPr>
              <w:rPr>
                <w:rFonts w:eastAsiaTheme="minorEastAsia"/>
              </w:rPr>
            </w:pPr>
            <w:r w:rsidRPr="00334036">
              <w:rPr>
                <w:rFonts w:eastAsiaTheme="minorEastAsia"/>
              </w:rPr>
              <w:t>.5</w:t>
            </w:r>
          </w:p>
        </w:tc>
        <w:tc>
          <w:tcPr>
            <w:tcW w:w="79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2538697" w14:textId="77777777" w:rsidR="00334036" w:rsidRPr="00334036" w:rsidRDefault="00334036" w:rsidP="00334036">
            <w:pPr>
              <w:rPr>
                <w:rFonts w:eastAsiaTheme="minorEastAsia"/>
              </w:rPr>
            </w:pPr>
            <w:r w:rsidRPr="00334036">
              <w:rPr>
                <w:rFonts w:eastAsiaTheme="minorEastAsia"/>
              </w:rPr>
              <w:t>3%</w:t>
            </w:r>
          </w:p>
        </w:tc>
        <w:tc>
          <w:tcPr>
            <w:tcW w:w="122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95F4565" w14:textId="77777777" w:rsidR="00334036" w:rsidRPr="00334036" w:rsidRDefault="00334036" w:rsidP="00334036">
            <w:pPr>
              <w:rPr>
                <w:rFonts w:eastAsiaTheme="minorEastAsia"/>
              </w:rPr>
            </w:pPr>
            <w:r w:rsidRPr="00334036">
              <w:rPr>
                <w:rFonts w:eastAsiaTheme="minorEastAsia"/>
              </w:rPr>
              <w:t>1.5%</w:t>
            </w:r>
          </w:p>
        </w:tc>
      </w:tr>
      <w:tr w:rsidR="00334036" w:rsidRPr="00334036" w14:paraId="25FA86AE" w14:textId="77777777" w:rsidTr="00334036">
        <w:trPr>
          <w:trHeight w:val="699"/>
        </w:trPr>
        <w:tc>
          <w:tcPr>
            <w:tcW w:w="101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4BD56C1" w14:textId="77777777" w:rsidR="00334036" w:rsidRPr="00334036" w:rsidRDefault="00334036" w:rsidP="00334036">
            <w:pPr>
              <w:rPr>
                <w:rFonts w:eastAsiaTheme="minorEastAsia"/>
              </w:rPr>
            </w:pPr>
          </w:p>
        </w:tc>
        <w:tc>
          <w:tcPr>
            <w:tcW w:w="116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EB614BD" w14:textId="77777777" w:rsidR="00334036" w:rsidRPr="00334036" w:rsidRDefault="00334036" w:rsidP="00334036">
            <w:pPr>
              <w:rPr>
                <w:rFonts w:eastAsiaTheme="minorEastAsia"/>
              </w:rPr>
            </w:pPr>
          </w:p>
        </w:tc>
        <w:tc>
          <w:tcPr>
            <w:tcW w:w="79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A465C6B" w14:textId="77777777" w:rsidR="00334036" w:rsidRPr="00334036" w:rsidRDefault="00334036" w:rsidP="00334036">
            <w:pPr>
              <w:rPr>
                <w:rFonts w:eastAsiaTheme="minorEastAsia"/>
              </w:rPr>
            </w:pPr>
          </w:p>
        </w:tc>
        <w:tc>
          <w:tcPr>
            <w:tcW w:w="122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85452D6" w14:textId="77777777" w:rsidR="00334036" w:rsidRPr="00334036" w:rsidRDefault="00334036" w:rsidP="00334036">
            <w:pPr>
              <w:rPr>
                <w:rFonts w:eastAsiaTheme="minorEastAsia"/>
              </w:rPr>
            </w:pPr>
            <w:r w:rsidRPr="00334036">
              <w:rPr>
                <w:rFonts w:eastAsiaTheme="minorEastAsia"/>
              </w:rPr>
              <w:t>5%</w:t>
            </w:r>
          </w:p>
        </w:tc>
      </w:tr>
    </w:tbl>
    <w:p w14:paraId="170D77C3" w14:textId="77777777" w:rsidR="00334036" w:rsidRDefault="00334036" w:rsidP="00334036">
      <w:pPr>
        <w:rPr>
          <w:rFonts w:eastAsiaTheme="minorEastAsia"/>
        </w:rPr>
      </w:pPr>
    </w:p>
    <w:tbl>
      <w:tblPr>
        <w:tblW w:w="3696" w:type="dxa"/>
        <w:tblCellMar>
          <w:left w:w="0" w:type="dxa"/>
          <w:right w:w="0" w:type="dxa"/>
        </w:tblCellMar>
        <w:tblLook w:val="0420" w:firstRow="1" w:lastRow="0" w:firstColumn="0" w:lastColumn="0" w:noHBand="0" w:noVBand="1"/>
      </w:tblPr>
      <w:tblGrid>
        <w:gridCol w:w="1118"/>
        <w:gridCol w:w="1256"/>
        <w:gridCol w:w="899"/>
        <w:gridCol w:w="899"/>
      </w:tblGrid>
      <w:tr w:rsidR="00334036" w:rsidRPr="00334036" w14:paraId="07221095" w14:textId="77777777" w:rsidTr="00334036">
        <w:trPr>
          <w:trHeight w:val="214"/>
        </w:trPr>
        <w:tc>
          <w:tcPr>
            <w:tcW w:w="3696" w:type="dxa"/>
            <w:gridSpan w:val="4"/>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AB8304E" w14:textId="77777777" w:rsidR="00334036" w:rsidRPr="00334036" w:rsidRDefault="00334036" w:rsidP="00334036">
            <w:pPr>
              <w:rPr>
                <w:rFonts w:eastAsiaTheme="minorEastAsia"/>
              </w:rPr>
            </w:pPr>
            <w:r w:rsidRPr="00334036">
              <w:rPr>
                <w:rFonts w:eastAsiaTheme="minorEastAsia"/>
                <w:b/>
                <w:bCs/>
              </w:rPr>
              <w:t>Stock A: Exp. Return = 5%</w:t>
            </w:r>
          </w:p>
        </w:tc>
      </w:tr>
      <w:tr w:rsidR="00334036" w:rsidRPr="00334036" w14:paraId="7FD1706D" w14:textId="77777777" w:rsidTr="00334036">
        <w:trPr>
          <w:trHeight w:val="214"/>
        </w:trPr>
        <w:tc>
          <w:tcPr>
            <w:tcW w:w="89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0E2DB80" w14:textId="77777777" w:rsidR="00334036" w:rsidRPr="00334036" w:rsidRDefault="00334036" w:rsidP="00334036">
            <w:pPr>
              <w:rPr>
                <w:rFonts w:eastAsiaTheme="minorEastAsia"/>
              </w:rPr>
            </w:pPr>
            <w:r w:rsidRPr="00334036">
              <w:rPr>
                <w:rFonts w:eastAsiaTheme="minorEastAsia"/>
              </w:rPr>
              <w:t>Outcome</w:t>
            </w:r>
          </w:p>
        </w:tc>
        <w:tc>
          <w:tcPr>
            <w:tcW w:w="1024"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5A0BA041" w14:textId="77777777" w:rsidR="00334036" w:rsidRPr="00334036" w:rsidRDefault="00334036" w:rsidP="00334036">
            <w:pPr>
              <w:rPr>
                <w:rFonts w:eastAsiaTheme="minorEastAsia"/>
              </w:rPr>
            </w:pPr>
            <w:r w:rsidRPr="00334036">
              <w:rPr>
                <w:rFonts w:eastAsiaTheme="minorEastAsia"/>
              </w:rPr>
              <w:t>Probability</w:t>
            </w:r>
          </w:p>
        </w:tc>
        <w:tc>
          <w:tcPr>
            <w:tcW w:w="697"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B0FC6E4" w14:textId="77777777" w:rsidR="00334036" w:rsidRPr="00334036" w:rsidRDefault="00334036" w:rsidP="00334036">
            <w:pPr>
              <w:rPr>
                <w:rFonts w:eastAsiaTheme="minorEastAsia"/>
              </w:rPr>
            </w:pPr>
            <w:r w:rsidRPr="00334036">
              <w:rPr>
                <w:rFonts w:eastAsiaTheme="minorEastAsia"/>
              </w:rPr>
              <w:t>Return</w:t>
            </w:r>
          </w:p>
        </w:tc>
        <w:tc>
          <w:tcPr>
            <w:tcW w:w="108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74DD42B" w14:textId="77777777" w:rsidR="00334036" w:rsidRPr="00334036" w:rsidRDefault="00334036" w:rsidP="00334036">
            <w:pPr>
              <w:rPr>
                <w:rFonts w:eastAsiaTheme="minorEastAsia"/>
              </w:rPr>
            </w:pPr>
            <w:r w:rsidRPr="00334036">
              <w:rPr>
                <w:rFonts w:eastAsiaTheme="minorEastAsia"/>
              </w:rPr>
              <w:t>Exp. Return</w:t>
            </w:r>
          </w:p>
        </w:tc>
      </w:tr>
      <w:tr w:rsidR="00334036" w:rsidRPr="00334036" w14:paraId="5A6153BA" w14:textId="77777777" w:rsidTr="00334036">
        <w:trPr>
          <w:trHeight w:val="214"/>
        </w:trPr>
        <w:tc>
          <w:tcPr>
            <w:tcW w:w="89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0D2FAB6" w14:textId="77777777" w:rsidR="00334036" w:rsidRPr="00334036" w:rsidRDefault="00334036" w:rsidP="00334036">
            <w:pPr>
              <w:rPr>
                <w:rFonts w:eastAsiaTheme="minorEastAsia"/>
              </w:rPr>
            </w:pPr>
            <w:r w:rsidRPr="00334036">
              <w:rPr>
                <w:rFonts w:eastAsiaTheme="minorEastAsia"/>
              </w:rPr>
              <w:t>Good</w:t>
            </w:r>
          </w:p>
        </w:tc>
        <w:tc>
          <w:tcPr>
            <w:tcW w:w="102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8E8EE5C" w14:textId="77777777" w:rsidR="00334036" w:rsidRPr="00334036" w:rsidRDefault="00334036" w:rsidP="00334036">
            <w:pPr>
              <w:rPr>
                <w:rFonts w:eastAsiaTheme="minorEastAsia"/>
              </w:rPr>
            </w:pPr>
            <w:r w:rsidRPr="00334036">
              <w:rPr>
                <w:rFonts w:eastAsiaTheme="minorEastAsia"/>
              </w:rPr>
              <w:t>.5</w:t>
            </w:r>
          </w:p>
        </w:tc>
        <w:tc>
          <w:tcPr>
            <w:tcW w:w="69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B0D1BE1" w14:textId="77777777" w:rsidR="00334036" w:rsidRPr="00334036" w:rsidRDefault="00F60BE9" w:rsidP="00334036">
            <w:pPr>
              <w:rPr>
                <w:rFonts w:eastAsiaTheme="minorEastAsia"/>
              </w:rPr>
            </w:pPr>
            <w:r>
              <w:rPr>
                <w:rFonts w:eastAsiaTheme="minorEastAsia"/>
              </w:rPr>
              <w:t>15</w:t>
            </w:r>
            <w:r w:rsidR="00334036" w:rsidRPr="00334036">
              <w:rPr>
                <w:rFonts w:eastAsiaTheme="minorEastAsia"/>
              </w:rPr>
              <w:t>%</w:t>
            </w:r>
          </w:p>
        </w:tc>
        <w:tc>
          <w:tcPr>
            <w:tcW w:w="10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0F38C7C" w14:textId="77777777" w:rsidR="00334036" w:rsidRPr="00334036" w:rsidRDefault="00F60BE9" w:rsidP="00334036">
            <w:pPr>
              <w:rPr>
                <w:rFonts w:eastAsiaTheme="minorEastAsia"/>
              </w:rPr>
            </w:pPr>
            <w:r>
              <w:rPr>
                <w:rFonts w:eastAsiaTheme="minorEastAsia"/>
              </w:rPr>
              <w:t>7</w:t>
            </w:r>
            <w:r w:rsidR="00334036" w:rsidRPr="00334036">
              <w:rPr>
                <w:rFonts w:eastAsiaTheme="minorEastAsia"/>
              </w:rPr>
              <w:t>.5%</w:t>
            </w:r>
          </w:p>
        </w:tc>
      </w:tr>
      <w:tr w:rsidR="00334036" w:rsidRPr="00334036" w14:paraId="64D9D431" w14:textId="77777777" w:rsidTr="00334036">
        <w:trPr>
          <w:trHeight w:val="214"/>
        </w:trPr>
        <w:tc>
          <w:tcPr>
            <w:tcW w:w="89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2D5E8E0" w14:textId="77777777" w:rsidR="00334036" w:rsidRPr="00334036" w:rsidRDefault="00334036" w:rsidP="00334036">
            <w:pPr>
              <w:rPr>
                <w:rFonts w:eastAsiaTheme="minorEastAsia"/>
              </w:rPr>
            </w:pPr>
            <w:r w:rsidRPr="00334036">
              <w:rPr>
                <w:rFonts w:eastAsiaTheme="minorEastAsia"/>
              </w:rPr>
              <w:t>Bad</w:t>
            </w:r>
          </w:p>
        </w:tc>
        <w:tc>
          <w:tcPr>
            <w:tcW w:w="102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353BF34" w14:textId="77777777" w:rsidR="00334036" w:rsidRPr="00334036" w:rsidRDefault="00334036" w:rsidP="00334036">
            <w:pPr>
              <w:rPr>
                <w:rFonts w:eastAsiaTheme="minorEastAsia"/>
              </w:rPr>
            </w:pPr>
            <w:r w:rsidRPr="00334036">
              <w:rPr>
                <w:rFonts w:eastAsiaTheme="minorEastAsia"/>
              </w:rPr>
              <w:t>.5</w:t>
            </w:r>
          </w:p>
        </w:tc>
        <w:tc>
          <w:tcPr>
            <w:tcW w:w="69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EDB01F5" w14:textId="77777777" w:rsidR="00334036" w:rsidRPr="00334036" w:rsidRDefault="00F60BE9" w:rsidP="00334036">
            <w:pPr>
              <w:rPr>
                <w:rFonts w:eastAsiaTheme="minorEastAsia"/>
              </w:rPr>
            </w:pPr>
            <w:r>
              <w:rPr>
                <w:rFonts w:eastAsiaTheme="minorEastAsia"/>
              </w:rPr>
              <w:t>-5</w:t>
            </w:r>
            <w:r w:rsidR="00334036" w:rsidRPr="00334036">
              <w:rPr>
                <w:rFonts w:eastAsiaTheme="minorEastAsia"/>
              </w:rPr>
              <w:t>%</w:t>
            </w:r>
          </w:p>
        </w:tc>
        <w:tc>
          <w:tcPr>
            <w:tcW w:w="108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2E70C91" w14:textId="77777777" w:rsidR="00334036" w:rsidRPr="00334036" w:rsidRDefault="00F60BE9" w:rsidP="00334036">
            <w:pPr>
              <w:rPr>
                <w:rFonts w:eastAsiaTheme="minorEastAsia"/>
              </w:rPr>
            </w:pPr>
            <w:r>
              <w:rPr>
                <w:rFonts w:eastAsiaTheme="minorEastAsia"/>
              </w:rPr>
              <w:t>-2</w:t>
            </w:r>
            <w:r w:rsidR="00334036" w:rsidRPr="00334036">
              <w:rPr>
                <w:rFonts w:eastAsiaTheme="minorEastAsia"/>
              </w:rPr>
              <w:t>.5%</w:t>
            </w:r>
          </w:p>
        </w:tc>
      </w:tr>
      <w:tr w:rsidR="00334036" w:rsidRPr="00334036" w14:paraId="5E79C492" w14:textId="77777777" w:rsidTr="00334036">
        <w:trPr>
          <w:trHeight w:val="214"/>
        </w:trPr>
        <w:tc>
          <w:tcPr>
            <w:tcW w:w="89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3AE3A83" w14:textId="77777777" w:rsidR="00334036" w:rsidRPr="00334036" w:rsidRDefault="00334036" w:rsidP="00334036">
            <w:pPr>
              <w:rPr>
                <w:rFonts w:eastAsiaTheme="minorEastAsia"/>
              </w:rPr>
            </w:pPr>
          </w:p>
        </w:tc>
        <w:tc>
          <w:tcPr>
            <w:tcW w:w="102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E077DD9" w14:textId="77777777" w:rsidR="00334036" w:rsidRPr="00334036" w:rsidRDefault="00334036" w:rsidP="00334036">
            <w:pPr>
              <w:rPr>
                <w:rFonts w:eastAsiaTheme="minorEastAsia"/>
              </w:rPr>
            </w:pPr>
          </w:p>
        </w:tc>
        <w:tc>
          <w:tcPr>
            <w:tcW w:w="69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073A189" w14:textId="77777777" w:rsidR="00334036" w:rsidRPr="00334036" w:rsidRDefault="00334036" w:rsidP="00334036">
            <w:pPr>
              <w:rPr>
                <w:rFonts w:eastAsiaTheme="minorEastAsia"/>
              </w:rPr>
            </w:pPr>
          </w:p>
        </w:tc>
        <w:tc>
          <w:tcPr>
            <w:tcW w:w="10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F08C4FD" w14:textId="77777777" w:rsidR="00334036" w:rsidRPr="00334036" w:rsidRDefault="00334036" w:rsidP="00334036">
            <w:pPr>
              <w:rPr>
                <w:rFonts w:eastAsiaTheme="minorEastAsia"/>
              </w:rPr>
            </w:pPr>
            <w:r w:rsidRPr="00334036">
              <w:rPr>
                <w:rFonts w:eastAsiaTheme="minorEastAsia"/>
              </w:rPr>
              <w:t>5%</w:t>
            </w:r>
          </w:p>
        </w:tc>
      </w:tr>
    </w:tbl>
    <w:p w14:paraId="00770AC1" w14:textId="77777777" w:rsidR="00334036" w:rsidRPr="00334036" w:rsidRDefault="00334036" w:rsidP="00334036">
      <w:pPr>
        <w:rPr>
          <w:rFonts w:eastAsiaTheme="minorEastAsia"/>
        </w:rPr>
      </w:pPr>
      <w:r w:rsidRPr="00334036">
        <w:rPr>
          <w:rFonts w:eastAsiaTheme="minorEastAsia"/>
        </w:rPr>
        <w:t>Both Stock A and Stock B have the same Expected Return—5%</w:t>
      </w:r>
      <w:r>
        <w:rPr>
          <w:rFonts w:eastAsiaTheme="minorEastAsia"/>
        </w:rPr>
        <w:t>. H</w:t>
      </w:r>
      <w:r w:rsidRPr="00334036">
        <w:rPr>
          <w:rFonts w:eastAsiaTheme="minorEastAsia"/>
        </w:rPr>
        <w:t>owever, in the Stock A Bad scenario, an investor sill earns 3%.  In the Stock B Bad scenario, an investor loses 5%</w:t>
      </w:r>
      <w:r>
        <w:rPr>
          <w:rFonts w:eastAsiaTheme="minorEastAsia"/>
        </w:rPr>
        <w:t>.</w:t>
      </w:r>
    </w:p>
    <w:p w14:paraId="71E44F4C" w14:textId="77777777" w:rsidR="00334036" w:rsidRDefault="00334036" w:rsidP="00334036">
      <w:pPr>
        <w:rPr>
          <w:rFonts w:eastAsiaTheme="minorEastAsia"/>
        </w:rPr>
      </w:pPr>
      <w:r w:rsidRPr="00334036">
        <w:rPr>
          <w:rFonts w:eastAsiaTheme="minorEastAsia"/>
        </w:rPr>
        <w:t>This illustrates risk tolerance:</w:t>
      </w:r>
      <w:r>
        <w:rPr>
          <w:rFonts w:eastAsiaTheme="minorEastAsia"/>
        </w:rPr>
        <w:t xml:space="preserve"> </w:t>
      </w:r>
      <w:r w:rsidRPr="00334036">
        <w:rPr>
          <w:rFonts w:eastAsiaTheme="minorEastAsia"/>
        </w:rPr>
        <w:t>a 3% return might be acceptable but a 5% loss might be unacceptable</w:t>
      </w:r>
      <w:r>
        <w:rPr>
          <w:rFonts w:eastAsiaTheme="minorEastAsia"/>
        </w:rPr>
        <w:t>.</w:t>
      </w:r>
    </w:p>
    <w:p w14:paraId="5EC317DC" w14:textId="77777777" w:rsidR="00334036" w:rsidRDefault="00334036" w:rsidP="00334036">
      <w:pPr>
        <w:pStyle w:val="Heading3"/>
        <w:rPr>
          <w:rFonts w:eastAsiaTheme="minorEastAsia"/>
        </w:rPr>
      </w:pPr>
      <w:r w:rsidRPr="00334036">
        <w:rPr>
          <w:rFonts w:eastAsiaTheme="minorEastAsia"/>
        </w:rPr>
        <w:t>Calculate Standard Deviation</w:t>
      </w:r>
    </w:p>
    <w:p w14:paraId="7D774509" w14:textId="77777777" w:rsidR="00334036" w:rsidRDefault="00334036" w:rsidP="00334036">
      <w:pPr>
        <w:pStyle w:val="ListParagraph"/>
        <w:numPr>
          <w:ilvl w:val="0"/>
          <w:numId w:val="5"/>
        </w:numPr>
      </w:pPr>
      <w:r>
        <w:t>Calculate the mean of the stocks (simple average)</w:t>
      </w:r>
    </w:p>
    <w:p w14:paraId="63A05C9C" w14:textId="77777777" w:rsidR="00334036" w:rsidRDefault="00334036" w:rsidP="00334036">
      <w:pPr>
        <w:pStyle w:val="ListParagraph"/>
        <w:numPr>
          <w:ilvl w:val="0"/>
          <w:numId w:val="5"/>
        </w:numPr>
      </w:pPr>
      <w:r>
        <w:t>For each number, subtract the mean.</w:t>
      </w:r>
    </w:p>
    <w:p w14:paraId="1A0DADB5" w14:textId="77777777" w:rsidR="00334036" w:rsidRDefault="00334036" w:rsidP="00334036">
      <w:pPr>
        <w:pStyle w:val="ListParagraph"/>
        <w:numPr>
          <w:ilvl w:val="0"/>
          <w:numId w:val="5"/>
        </w:numPr>
      </w:pPr>
      <w:r>
        <w:t>Square the result</w:t>
      </w:r>
    </w:p>
    <w:p w14:paraId="19CDB4D9" w14:textId="77777777" w:rsidR="00334036" w:rsidRDefault="00334036" w:rsidP="00334036">
      <w:pPr>
        <w:pStyle w:val="ListParagraph"/>
        <w:numPr>
          <w:ilvl w:val="0"/>
          <w:numId w:val="5"/>
        </w:numPr>
      </w:pPr>
      <w:r>
        <w:t>Add up all of the squared results</w:t>
      </w:r>
    </w:p>
    <w:p w14:paraId="039FB63D" w14:textId="77777777" w:rsidR="00334036" w:rsidRDefault="00334036" w:rsidP="00334036">
      <w:pPr>
        <w:pStyle w:val="ListParagraph"/>
        <w:numPr>
          <w:ilvl w:val="0"/>
          <w:numId w:val="5"/>
        </w:numPr>
      </w:pPr>
      <w:r>
        <w:t>Take the Square Root of the sum</w:t>
      </w:r>
    </w:p>
    <w:p w14:paraId="211EE7A0" w14:textId="77777777" w:rsidR="00334036" w:rsidRDefault="00334036" w:rsidP="00334036">
      <w:r>
        <w:t>Stock Risk is measured by the standard deviation.</w:t>
      </w:r>
    </w:p>
    <w:p w14:paraId="39A8B812" w14:textId="77777777" w:rsidR="00334036" w:rsidRDefault="00334036" w:rsidP="00334036">
      <w:r>
        <w:t>The higher the SD, the higher the risk.</w:t>
      </w:r>
    </w:p>
    <w:p w14:paraId="18AA674E" w14:textId="77777777" w:rsidR="00334036" w:rsidRDefault="00334036" w:rsidP="00334036">
      <w:r>
        <w:t>Example of the SD calculation can be found here:</w:t>
      </w:r>
    </w:p>
    <w:p w14:paraId="5C49C9DD" w14:textId="77777777" w:rsidR="00334036" w:rsidRDefault="00C755D9" w:rsidP="00334036">
      <w:hyperlink r:id="rId12" w:history="1">
        <w:r w:rsidR="00334036" w:rsidRPr="00BB791D">
          <w:rPr>
            <w:rStyle w:val="Hyperlink"/>
          </w:rPr>
          <w:t>http://teachmefinance.com/standarddeviation.html</w:t>
        </w:r>
      </w:hyperlink>
    </w:p>
    <w:p w14:paraId="15D21BC6" w14:textId="77777777" w:rsidR="00334036" w:rsidRDefault="00334036" w:rsidP="00334036">
      <w:r>
        <w:t>In the grid box, the answer is shown as 66.25.  This is the variance---not the Standard Deviation.</w:t>
      </w:r>
    </w:p>
    <w:p w14:paraId="38803167" w14:textId="77777777" w:rsidR="00334036" w:rsidRDefault="00334036" w:rsidP="00334036">
      <w:r>
        <w:t xml:space="preserve">To find the SD, you need to take the square root of the variance.  </w:t>
      </w:r>
    </w:p>
    <w:p w14:paraId="28F41848" w14:textId="77777777" w:rsidR="00334036" w:rsidRDefault="00334036" w:rsidP="00334036">
      <w:r>
        <w:t>In Excel, the square root function is SQRT()</w:t>
      </w:r>
    </w:p>
    <w:p w14:paraId="37545028" w14:textId="77777777" w:rsidR="00334036" w:rsidRDefault="00425422" w:rsidP="00425422">
      <w:pPr>
        <w:pStyle w:val="Heading2"/>
      </w:pPr>
      <w:r w:rsidRPr="00425422">
        <w:t>Risk and Diversification</w:t>
      </w:r>
    </w:p>
    <w:p w14:paraId="3893EBBE" w14:textId="77777777" w:rsidR="00425422" w:rsidRDefault="00425422" w:rsidP="00425422">
      <w:r>
        <w:t>When thinking about Risk and Diversification, the idea is to create a portfolio of stocks that work well together. This usually means that a portfolio should hold stocks that move in opposite directions. If it only holds stocks that move in the same directions, the portfolio will do very well in up times and very poorly in down times.</w:t>
      </w:r>
    </w:p>
    <w:p w14:paraId="1DC7B05E" w14:textId="77777777" w:rsidR="00425422" w:rsidRDefault="00425422" w:rsidP="00425422">
      <w:pPr>
        <w:pStyle w:val="Heading2"/>
      </w:pPr>
      <w:r w:rsidRPr="00425422">
        <w:lastRenderedPageBreak/>
        <w:t>Portfolio Risk and Return</w:t>
      </w:r>
    </w:p>
    <w:p w14:paraId="10C5BF8C" w14:textId="77777777" w:rsidR="00425422" w:rsidRDefault="00425422" w:rsidP="00425422">
      <w:pPr>
        <w:pStyle w:val="ListParagraph"/>
        <w:numPr>
          <w:ilvl w:val="0"/>
          <w:numId w:val="6"/>
        </w:numPr>
      </w:pPr>
      <w:r>
        <w:t>Most investors do not hold only one stock or bond (securities).  They have many securities.  Combined this is called the investor portfolio.</w:t>
      </w:r>
    </w:p>
    <w:p w14:paraId="0D521695" w14:textId="77777777" w:rsidR="00425422" w:rsidRDefault="00425422" w:rsidP="00425422">
      <w:pPr>
        <w:pStyle w:val="ListParagraph"/>
        <w:numPr>
          <w:ilvl w:val="0"/>
          <w:numId w:val="6"/>
        </w:numPr>
      </w:pPr>
      <w:r>
        <w:t>What an individual security does (up/down) is not important.  What IS important is how the portfolio as a whole performs.</w:t>
      </w:r>
    </w:p>
    <w:p w14:paraId="213918DD" w14:textId="77777777" w:rsidR="00425422" w:rsidRDefault="00425422" w:rsidP="00425422">
      <w:pPr>
        <w:pStyle w:val="ListParagraph"/>
        <w:numPr>
          <w:ilvl w:val="0"/>
          <w:numId w:val="6"/>
        </w:numPr>
      </w:pPr>
      <w:r>
        <w:t>The risk and return of an individual security should be analyzed in terms of how it impacts the portfolio in which it is held.</w:t>
      </w:r>
    </w:p>
    <w:p w14:paraId="267B9BBF" w14:textId="77777777" w:rsidR="00425422" w:rsidRDefault="00425422" w:rsidP="00425422">
      <w:pPr>
        <w:pStyle w:val="Heading2"/>
      </w:pPr>
      <w:r w:rsidRPr="00425422">
        <w:t>Risk and Diversification</w:t>
      </w:r>
    </w:p>
    <w:p w14:paraId="6F12B079" w14:textId="77777777" w:rsidR="00425422" w:rsidRDefault="00425422" w:rsidP="00425422">
      <w:r>
        <w:t>Risk &amp; Diversification:</w:t>
      </w:r>
      <w:r w:rsidR="00D22FCF">
        <w:t xml:space="preserve">  reducing risk by investing in</w:t>
      </w:r>
      <w:r>
        <w:t xml:space="preserve"> two or more assets whose values do not always change in the same direction and/or by the same rate.</w:t>
      </w:r>
    </w:p>
    <w:p w14:paraId="3B08F3BD" w14:textId="77777777" w:rsidR="00425422" w:rsidRDefault="00425422" w:rsidP="00425422">
      <w:r>
        <w:t xml:space="preserve"> Single-asset portfolios: </w:t>
      </w:r>
    </w:p>
    <w:p w14:paraId="617B7525" w14:textId="77777777" w:rsidR="00425422" w:rsidRDefault="00425422" w:rsidP="00D22FCF">
      <w:r>
        <w:t xml:space="preserve">      - a selection criteria could be low coefficie</w:t>
      </w:r>
      <w:r w:rsidR="00D22FCF">
        <w:t>nt of variation of return, i.e.,</w:t>
      </w:r>
      <w:r>
        <w:t xml:space="preserve"> low risk per percentage rate of return.        </w:t>
      </w:r>
    </w:p>
    <w:p w14:paraId="584A0453" w14:textId="77777777" w:rsidR="00425422" w:rsidRDefault="00425422" w:rsidP="00425422">
      <w:r w:rsidRPr="00425422">
        <w:rPr>
          <w:noProof/>
        </w:rPr>
        <w:drawing>
          <wp:inline distT="0" distB="0" distL="0" distR="0" wp14:anchorId="5BC75196" wp14:editId="0891D39E">
            <wp:extent cx="1744980" cy="9982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44980" cy="998220"/>
                    </a:xfrm>
                    <a:prstGeom prst="rect">
                      <a:avLst/>
                    </a:prstGeom>
                    <a:noFill/>
                    <a:ln>
                      <a:noFill/>
                    </a:ln>
                  </pic:spPr>
                </pic:pic>
              </a:graphicData>
            </a:graphic>
          </wp:inline>
        </w:drawing>
      </w:r>
    </w:p>
    <w:p w14:paraId="2A94D5F8" w14:textId="77777777" w:rsidR="00425422" w:rsidRDefault="00425422" w:rsidP="00425422"/>
    <w:p w14:paraId="2AE16190" w14:textId="77777777" w:rsidR="00425422" w:rsidRPr="00425422" w:rsidRDefault="00425422" w:rsidP="00D22FCF">
      <w:r>
        <w:t xml:space="preserve">     -  Existence of risk-free assets with positive returns presents interpretation problems for CV.  Hence, modified CV and its inverse (i.e., Sharpe ratio)  </w:t>
      </w:r>
    </w:p>
    <w:p w14:paraId="23689C51" w14:textId="77777777" w:rsidR="00334036" w:rsidRDefault="00D22FCF" w:rsidP="00D22FCF">
      <w:pPr>
        <w:pStyle w:val="Heading2"/>
      </w:pPr>
      <w:r w:rsidRPr="00D22FCF">
        <w:t>Portfolio Risk</w:t>
      </w:r>
    </w:p>
    <w:p w14:paraId="7F41A271" w14:textId="77777777" w:rsidR="00D22FCF" w:rsidRDefault="00D22FCF" w:rsidP="00D22FCF">
      <w:r>
        <w:t>Portfolios with more than one asset: Expected return on a portfolio of two assets is the weighted average of the expected returns on the two assets, i.e.,</w:t>
      </w:r>
    </w:p>
    <w:p w14:paraId="1401D326" w14:textId="77777777" w:rsidR="00D22FCF" w:rsidRDefault="00C755D9" w:rsidP="00D22FCF">
      <w:r w:rsidRPr="00D22FCF">
        <w:rPr>
          <w:noProof/>
        </w:rPr>
        <w:object w:dxaOrig="180" w:dyaOrig="340" w14:anchorId="5D700BFE">
          <v:shape id="_x0000_i1026" type="#_x0000_t75" alt="" style="width:9.2pt;height:16.85pt;mso-width-percent:0;mso-height-percent:0;mso-width-percent:0;mso-height-percent:0" o:ole="">
            <v:imagedata r:id="rId7" o:title=""/>
          </v:shape>
          <o:OLEObject Type="Embed" ProgID="Equation.3" ShapeID="_x0000_i1026" DrawAspect="Content" ObjectID="_1635841025" r:id="rId14"/>
        </w:object>
      </w:r>
      <w:r w:rsidR="00D22FCF" w:rsidRPr="00D22FCF">
        <w:rPr>
          <w:noProof/>
        </w:rPr>
        <w:drawing>
          <wp:inline distT="0" distB="0" distL="0" distR="0" wp14:anchorId="2E8906EF" wp14:editId="59DBDBBC">
            <wp:extent cx="4251960" cy="533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51960" cy="533400"/>
                    </a:xfrm>
                    <a:prstGeom prst="rect">
                      <a:avLst/>
                    </a:prstGeom>
                    <a:noFill/>
                    <a:ln>
                      <a:noFill/>
                    </a:ln>
                  </pic:spPr>
                </pic:pic>
              </a:graphicData>
            </a:graphic>
          </wp:inline>
        </w:drawing>
      </w:r>
    </w:p>
    <w:p w14:paraId="250E034A" w14:textId="77777777" w:rsidR="00D22FCF" w:rsidRDefault="00D22FCF" w:rsidP="00D22FCF">
      <w:r>
        <w:t>Similarly, expected return on a portfolio made up of n assets is given by:</w:t>
      </w:r>
    </w:p>
    <w:p w14:paraId="25A10759" w14:textId="77777777" w:rsidR="00D22FCF" w:rsidRDefault="00D22FCF" w:rsidP="00D22FCF">
      <w:r w:rsidRPr="00D22FCF">
        <w:rPr>
          <w:noProof/>
        </w:rPr>
        <w:drawing>
          <wp:inline distT="0" distB="0" distL="0" distR="0" wp14:anchorId="62899E20" wp14:editId="548421DE">
            <wp:extent cx="5943600" cy="122104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221042"/>
                    </a:xfrm>
                    <a:prstGeom prst="rect">
                      <a:avLst/>
                    </a:prstGeom>
                    <a:noFill/>
                    <a:ln>
                      <a:noFill/>
                    </a:ln>
                  </pic:spPr>
                </pic:pic>
              </a:graphicData>
            </a:graphic>
          </wp:inline>
        </w:drawing>
      </w:r>
    </w:p>
    <w:p w14:paraId="2DA3B687" w14:textId="77777777" w:rsidR="00D22FCF" w:rsidRDefault="004F5A14" w:rsidP="004F5A14">
      <w:r>
        <w:t>Risk (e.g., variance of returns) on a portfolio made up of two or more assets IS NOT equal to the weighted average of risks of individual assets. Variance of returns for two assets is:</w:t>
      </w:r>
    </w:p>
    <w:p w14:paraId="7C9E20AC" w14:textId="77777777" w:rsidR="00D22FCF" w:rsidRDefault="00C755D9" w:rsidP="004F5A14">
      <w:r w:rsidRPr="004F5A14">
        <w:rPr>
          <w:noProof/>
        </w:rPr>
        <w:object w:dxaOrig="8496" w:dyaOrig="1056" w14:anchorId="6C141F3B">
          <v:shape id="_x0000_i1025" type="#_x0000_t75" alt="" style="width:425.1pt;height:52.85pt;mso-width-percent:0;mso-height-percent:0;mso-width-percent:0;mso-height-percent:0" o:ole="">
            <v:imagedata r:id="rId17" o:title=""/>
          </v:shape>
          <o:OLEObject Type="Embed" ProgID="Unknown" ShapeID="_x0000_i1025" DrawAspect="Content" ObjectID="_1635841026" r:id="rId18"/>
        </w:object>
      </w:r>
    </w:p>
    <w:p w14:paraId="59585933" w14:textId="77777777" w:rsidR="004F5A14" w:rsidRDefault="004F5A14" w:rsidP="004F5A14">
      <w:r>
        <w:t>where R1,2 is the covariance between stocks 1 and 2.  Covariance is a measure of how returns on two assets co-vary, or move together:</w:t>
      </w:r>
    </w:p>
    <w:p w14:paraId="2D62D6F7" w14:textId="77777777" w:rsidR="00D22FCF" w:rsidRDefault="004F5A14" w:rsidP="004F5A14">
      <w:r w:rsidRPr="004F5A14">
        <w:rPr>
          <w:noProof/>
        </w:rPr>
        <w:drawing>
          <wp:inline distT="0" distB="0" distL="0" distR="0" wp14:anchorId="5AFF159D" wp14:editId="06ED198E">
            <wp:extent cx="5943600" cy="80792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807929"/>
                    </a:xfrm>
                    <a:prstGeom prst="rect">
                      <a:avLst/>
                    </a:prstGeom>
                    <a:noFill/>
                    <a:ln>
                      <a:noFill/>
                    </a:ln>
                  </pic:spPr>
                </pic:pic>
              </a:graphicData>
            </a:graphic>
          </wp:inline>
        </w:drawing>
      </w:r>
    </w:p>
    <w:p w14:paraId="43DD889D" w14:textId="77777777" w:rsidR="004F5A14" w:rsidRDefault="004F5A14" w:rsidP="004F5A14">
      <w:r>
        <w:t>Note that covariance calculation is similar to variance calculation; but instead of squaring difference between value from each outcome and expected value for an individual asset, we calculate the product of this difference for two different assets. If we divide covariance by the products of standard deviations, we get the correlation coefficient between returns on two assets, i.e.,</w:t>
      </w:r>
    </w:p>
    <w:p w14:paraId="24CEC26F" w14:textId="77777777" w:rsidR="00D22FCF" w:rsidRDefault="004F5A14" w:rsidP="004F5A14">
      <w:r w:rsidRPr="004F5A14">
        <w:rPr>
          <w:noProof/>
        </w:rPr>
        <w:drawing>
          <wp:inline distT="0" distB="0" distL="0" distR="0" wp14:anchorId="50FA172E" wp14:editId="25581B33">
            <wp:extent cx="1638300" cy="1219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38300" cy="1219200"/>
                    </a:xfrm>
                    <a:prstGeom prst="rect">
                      <a:avLst/>
                    </a:prstGeom>
                    <a:noFill/>
                    <a:ln>
                      <a:noFill/>
                    </a:ln>
                  </pic:spPr>
                </pic:pic>
              </a:graphicData>
            </a:graphic>
          </wp:inline>
        </w:drawing>
      </w:r>
    </w:p>
    <w:p w14:paraId="2B05D62C" w14:textId="77777777" w:rsidR="004F5A14" w:rsidRDefault="004F5A14" w:rsidP="004F5A14">
      <w:r w:rsidRPr="004F5A14">
        <w:rPr>
          <w:b/>
          <w:bCs/>
        </w:rPr>
        <w:t>Coefficient of correlation</w:t>
      </w:r>
      <w:r>
        <w:t xml:space="preserve"> always is between +1 and -1.</w:t>
      </w:r>
    </w:p>
    <w:p w14:paraId="19F61228" w14:textId="77777777" w:rsidR="004F5A14" w:rsidRDefault="004F5A14" w:rsidP="004F5A14">
      <w:r>
        <w:t>If we have an imperfect correlation between assets, or a correlation coefficient less than +1, then we benefit from diversification by holding more than one asset with different risk characteristics.</w:t>
      </w:r>
    </w:p>
    <w:p w14:paraId="1023368A" w14:textId="77777777" w:rsidR="004F5A14" w:rsidRDefault="004F5A14" w:rsidP="004F5A14">
      <w:r>
        <w:t>As we keep adding stocks to a portfolio, calculating variance becomes increasingly complex – we must account for covariance between each pair of assets.</w:t>
      </w:r>
    </w:p>
    <w:p w14:paraId="31F013D7" w14:textId="77777777" w:rsidR="004F5A14" w:rsidRDefault="004F5A14" w:rsidP="004F5A14">
      <w:r>
        <w:t>By increasing number of stocks in a portfolio, the portfolio risk – or the standard deviation of portfolio returns declines, but at diminished rates.</w:t>
      </w:r>
    </w:p>
    <w:p w14:paraId="6235F26D" w14:textId="77777777" w:rsidR="00D22FCF" w:rsidRDefault="004F5A14" w:rsidP="004F5A14">
      <w:pPr>
        <w:pStyle w:val="Heading2"/>
      </w:pPr>
      <w:r w:rsidRPr="004F5A14">
        <w:t>Covariance</w:t>
      </w:r>
    </w:p>
    <w:p w14:paraId="4AA218D6" w14:textId="77777777" w:rsidR="004F5A14" w:rsidRDefault="004F5A14" w:rsidP="004F5A14">
      <w:r>
        <w:t>Covariance measures how 2 variables move together. If they move in the same direction, there is a positive covariance. If they move in opposite directions, there is a negative covariance.</w:t>
      </w:r>
    </w:p>
    <w:p w14:paraId="479FB065" w14:textId="77777777" w:rsidR="004F5A14" w:rsidRDefault="004F5A14" w:rsidP="004F5A14">
      <w:r>
        <w:t>Following is</w:t>
      </w:r>
      <w:r w:rsidRPr="004F5A14">
        <w:t xml:space="preserve"> the formula for calculating the covariance—but what does this math really mean?</w:t>
      </w:r>
    </w:p>
    <w:p w14:paraId="543EE6AF" w14:textId="77777777" w:rsidR="004F5A14" w:rsidRDefault="004F5A14" w:rsidP="004F5A14">
      <w:r w:rsidRPr="004F5A14">
        <w:rPr>
          <w:noProof/>
        </w:rPr>
        <w:drawing>
          <wp:inline distT="0" distB="0" distL="0" distR="0" wp14:anchorId="4018450D" wp14:editId="7E1DCF2C">
            <wp:extent cx="5943600" cy="70861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708618"/>
                    </a:xfrm>
                    <a:prstGeom prst="rect">
                      <a:avLst/>
                    </a:prstGeom>
                    <a:noFill/>
                    <a:ln>
                      <a:noFill/>
                    </a:ln>
                  </pic:spPr>
                </pic:pic>
              </a:graphicData>
            </a:graphic>
          </wp:inline>
        </w:drawing>
      </w:r>
    </w:p>
    <w:p w14:paraId="0C24B92B" w14:textId="77777777" w:rsidR="004F5A14" w:rsidRDefault="001065C1" w:rsidP="004F5A14">
      <w:r w:rsidRPr="004F5A14">
        <w:t>This equation says for each stock, take the probability and multiply it by the (stock returns – expected return for that stock)</w:t>
      </w:r>
      <w:r w:rsidR="004F5A14">
        <w:t>.</w:t>
      </w:r>
    </w:p>
    <w:p w14:paraId="77E0682E" w14:textId="77777777" w:rsidR="004F5A14" w:rsidRDefault="004F5A14" w:rsidP="004F5A14">
      <w:r w:rsidRPr="004F5A14">
        <w:lastRenderedPageBreak/>
        <w:t>Example</w:t>
      </w:r>
      <w:r>
        <w:t>:</w:t>
      </w:r>
    </w:p>
    <w:p w14:paraId="7709AA70" w14:textId="77777777" w:rsidR="004F5A14" w:rsidRDefault="004F5A14" w:rsidP="004F5A14">
      <w:r w:rsidRPr="004F5A14">
        <w:t>Calculate the covariance between the returns of Stock A and Stock B given the following:</w:t>
      </w:r>
    </w:p>
    <w:tbl>
      <w:tblPr>
        <w:tblStyle w:val="TableGrid"/>
        <w:tblW w:w="0" w:type="auto"/>
        <w:tblLook w:val="04A0" w:firstRow="1" w:lastRow="0" w:firstColumn="1" w:lastColumn="0" w:noHBand="0" w:noVBand="1"/>
      </w:tblPr>
      <w:tblGrid>
        <w:gridCol w:w="2337"/>
        <w:gridCol w:w="2337"/>
        <w:gridCol w:w="2338"/>
        <w:gridCol w:w="2338"/>
      </w:tblGrid>
      <w:tr w:rsidR="004F5A14" w14:paraId="58B840AA" w14:textId="77777777" w:rsidTr="004F5A14">
        <w:tc>
          <w:tcPr>
            <w:tcW w:w="2337" w:type="dxa"/>
          </w:tcPr>
          <w:p w14:paraId="48DC8319" w14:textId="77777777" w:rsidR="004F5A14" w:rsidRDefault="004F5A14" w:rsidP="004F5A14">
            <w:pPr>
              <w:jc w:val="center"/>
            </w:pPr>
          </w:p>
        </w:tc>
        <w:tc>
          <w:tcPr>
            <w:tcW w:w="2337" w:type="dxa"/>
          </w:tcPr>
          <w:p w14:paraId="4E9E2C06" w14:textId="77777777" w:rsidR="004F5A14" w:rsidRDefault="004F5A14" w:rsidP="004F5A14">
            <w:pPr>
              <w:jc w:val="center"/>
            </w:pPr>
            <w:r>
              <w:t>Probability</w:t>
            </w:r>
          </w:p>
        </w:tc>
        <w:tc>
          <w:tcPr>
            <w:tcW w:w="2338" w:type="dxa"/>
          </w:tcPr>
          <w:p w14:paraId="250BC922" w14:textId="77777777" w:rsidR="004F5A14" w:rsidRDefault="004F5A14" w:rsidP="004F5A14">
            <w:pPr>
              <w:jc w:val="center"/>
            </w:pPr>
            <w:r>
              <w:t>Return A</w:t>
            </w:r>
          </w:p>
        </w:tc>
        <w:tc>
          <w:tcPr>
            <w:tcW w:w="2338" w:type="dxa"/>
          </w:tcPr>
          <w:p w14:paraId="502FE6DB" w14:textId="77777777" w:rsidR="004F5A14" w:rsidRDefault="004F5A14" w:rsidP="004F5A14">
            <w:pPr>
              <w:jc w:val="center"/>
            </w:pPr>
            <w:r>
              <w:t>Return B</w:t>
            </w:r>
          </w:p>
        </w:tc>
      </w:tr>
      <w:tr w:rsidR="004F5A14" w14:paraId="22235A5C" w14:textId="77777777" w:rsidTr="004F5A14">
        <w:tc>
          <w:tcPr>
            <w:tcW w:w="2337" w:type="dxa"/>
          </w:tcPr>
          <w:p w14:paraId="2F95A32F" w14:textId="77777777" w:rsidR="004F5A14" w:rsidRDefault="004F5A14" w:rsidP="004F5A14">
            <w:pPr>
              <w:jc w:val="center"/>
            </w:pPr>
            <w:r>
              <w:t>Good</w:t>
            </w:r>
          </w:p>
        </w:tc>
        <w:tc>
          <w:tcPr>
            <w:tcW w:w="2337" w:type="dxa"/>
          </w:tcPr>
          <w:p w14:paraId="1AA20B5B" w14:textId="77777777" w:rsidR="004F5A14" w:rsidRDefault="004F5A14" w:rsidP="004F5A14">
            <w:pPr>
              <w:jc w:val="center"/>
            </w:pPr>
            <w:r>
              <w:t>.35</w:t>
            </w:r>
          </w:p>
        </w:tc>
        <w:tc>
          <w:tcPr>
            <w:tcW w:w="2338" w:type="dxa"/>
          </w:tcPr>
          <w:p w14:paraId="559A6E42" w14:textId="77777777" w:rsidR="004F5A14" w:rsidRDefault="004F5A14" w:rsidP="004F5A14">
            <w:pPr>
              <w:jc w:val="center"/>
            </w:pPr>
            <w:r>
              <w:t>.3</w:t>
            </w:r>
          </w:p>
        </w:tc>
        <w:tc>
          <w:tcPr>
            <w:tcW w:w="2338" w:type="dxa"/>
          </w:tcPr>
          <w:p w14:paraId="2084CFC4" w14:textId="77777777" w:rsidR="004F5A14" w:rsidRDefault="004F5A14" w:rsidP="004F5A14">
            <w:pPr>
              <w:jc w:val="center"/>
            </w:pPr>
            <w:r>
              <w:t>.5</w:t>
            </w:r>
          </w:p>
        </w:tc>
      </w:tr>
      <w:tr w:rsidR="004F5A14" w14:paraId="77B36144" w14:textId="77777777" w:rsidTr="004F5A14">
        <w:tc>
          <w:tcPr>
            <w:tcW w:w="2337" w:type="dxa"/>
          </w:tcPr>
          <w:p w14:paraId="414E5230" w14:textId="77777777" w:rsidR="004F5A14" w:rsidRDefault="004F5A14" w:rsidP="004F5A14">
            <w:pPr>
              <w:jc w:val="center"/>
            </w:pPr>
            <w:r>
              <w:t>Fair</w:t>
            </w:r>
          </w:p>
        </w:tc>
        <w:tc>
          <w:tcPr>
            <w:tcW w:w="2337" w:type="dxa"/>
          </w:tcPr>
          <w:p w14:paraId="74B3E250" w14:textId="77777777" w:rsidR="004F5A14" w:rsidRDefault="004F5A14" w:rsidP="004F5A14">
            <w:pPr>
              <w:jc w:val="center"/>
            </w:pPr>
            <w:r>
              <w:t>.5</w:t>
            </w:r>
          </w:p>
        </w:tc>
        <w:tc>
          <w:tcPr>
            <w:tcW w:w="2338" w:type="dxa"/>
          </w:tcPr>
          <w:p w14:paraId="33FDFFF7" w14:textId="77777777" w:rsidR="004F5A14" w:rsidRDefault="004F5A14" w:rsidP="004F5A14">
            <w:pPr>
              <w:jc w:val="center"/>
            </w:pPr>
            <w:r>
              <w:t>.1</w:t>
            </w:r>
          </w:p>
        </w:tc>
        <w:tc>
          <w:tcPr>
            <w:tcW w:w="2338" w:type="dxa"/>
          </w:tcPr>
          <w:p w14:paraId="32516599" w14:textId="77777777" w:rsidR="004F5A14" w:rsidRDefault="004F5A14" w:rsidP="004F5A14">
            <w:pPr>
              <w:jc w:val="center"/>
            </w:pPr>
            <w:r>
              <w:t>.1</w:t>
            </w:r>
          </w:p>
        </w:tc>
      </w:tr>
      <w:tr w:rsidR="004F5A14" w14:paraId="60374F1A" w14:textId="77777777" w:rsidTr="004F5A14">
        <w:tc>
          <w:tcPr>
            <w:tcW w:w="2337" w:type="dxa"/>
          </w:tcPr>
          <w:p w14:paraId="37A760DE" w14:textId="77777777" w:rsidR="004F5A14" w:rsidRDefault="004F5A14" w:rsidP="004F5A14">
            <w:pPr>
              <w:jc w:val="center"/>
            </w:pPr>
            <w:r>
              <w:t>Poor</w:t>
            </w:r>
          </w:p>
        </w:tc>
        <w:tc>
          <w:tcPr>
            <w:tcW w:w="2337" w:type="dxa"/>
          </w:tcPr>
          <w:p w14:paraId="2B3C0588" w14:textId="77777777" w:rsidR="004F5A14" w:rsidRDefault="004F5A14" w:rsidP="004F5A14">
            <w:pPr>
              <w:jc w:val="center"/>
            </w:pPr>
            <w:r>
              <w:t>.15</w:t>
            </w:r>
          </w:p>
        </w:tc>
        <w:tc>
          <w:tcPr>
            <w:tcW w:w="2338" w:type="dxa"/>
          </w:tcPr>
          <w:p w14:paraId="38AD06ED" w14:textId="77777777" w:rsidR="004F5A14" w:rsidRDefault="004F5A14" w:rsidP="004F5A14">
            <w:pPr>
              <w:jc w:val="center"/>
            </w:pPr>
            <w:r>
              <w:t>-.25</w:t>
            </w:r>
          </w:p>
        </w:tc>
        <w:tc>
          <w:tcPr>
            <w:tcW w:w="2338" w:type="dxa"/>
          </w:tcPr>
          <w:p w14:paraId="60EF87BD" w14:textId="77777777" w:rsidR="004F5A14" w:rsidRDefault="004F5A14" w:rsidP="004F5A14">
            <w:pPr>
              <w:jc w:val="center"/>
            </w:pPr>
            <w:r>
              <w:t>-.3</w:t>
            </w:r>
          </w:p>
        </w:tc>
      </w:tr>
      <w:tr w:rsidR="004F5A14" w14:paraId="4C10AA08" w14:textId="77777777" w:rsidTr="004F5A14">
        <w:tc>
          <w:tcPr>
            <w:tcW w:w="2337" w:type="dxa"/>
          </w:tcPr>
          <w:p w14:paraId="44E2726F" w14:textId="77777777" w:rsidR="004F5A14" w:rsidRDefault="004F5A14" w:rsidP="004F5A14">
            <w:pPr>
              <w:jc w:val="center"/>
            </w:pPr>
            <w:r>
              <w:t>Expected returns</w:t>
            </w:r>
          </w:p>
        </w:tc>
        <w:tc>
          <w:tcPr>
            <w:tcW w:w="2337" w:type="dxa"/>
          </w:tcPr>
          <w:p w14:paraId="3E4CEBEF" w14:textId="77777777" w:rsidR="004F5A14" w:rsidRDefault="004F5A14" w:rsidP="004F5A14">
            <w:pPr>
              <w:jc w:val="center"/>
            </w:pPr>
          </w:p>
        </w:tc>
        <w:tc>
          <w:tcPr>
            <w:tcW w:w="2338" w:type="dxa"/>
          </w:tcPr>
          <w:p w14:paraId="280400F9" w14:textId="0192AC04" w:rsidR="004F5A14" w:rsidRDefault="004F5A14" w:rsidP="004F5A14">
            <w:pPr>
              <w:jc w:val="center"/>
            </w:pPr>
            <w:r>
              <w:t>.</w:t>
            </w:r>
            <w:r w:rsidR="00A22DBA">
              <w:t>1175</w:t>
            </w:r>
          </w:p>
        </w:tc>
        <w:tc>
          <w:tcPr>
            <w:tcW w:w="2338" w:type="dxa"/>
          </w:tcPr>
          <w:p w14:paraId="3CA61F6F" w14:textId="77777777" w:rsidR="004F5A14" w:rsidRDefault="004F5A14" w:rsidP="004F5A14">
            <w:pPr>
              <w:jc w:val="center"/>
            </w:pPr>
            <w:r>
              <w:t>.18</w:t>
            </w:r>
          </w:p>
        </w:tc>
      </w:tr>
    </w:tbl>
    <w:p w14:paraId="3657E467" w14:textId="77777777" w:rsidR="004F5A14" w:rsidRPr="004F5A14" w:rsidRDefault="004F5A14" w:rsidP="004F5A14"/>
    <w:p w14:paraId="64E201AE" w14:textId="77777777" w:rsidR="004F5A14" w:rsidRDefault="004F5A14" w:rsidP="004F5A14">
      <w:r>
        <w:t>Solution:</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4F5A14" w14:paraId="50A2D589" w14:textId="77777777" w:rsidTr="004F5A14">
        <w:tc>
          <w:tcPr>
            <w:tcW w:w="1335" w:type="dxa"/>
          </w:tcPr>
          <w:p w14:paraId="4D676E3D" w14:textId="77777777" w:rsidR="004F5A14" w:rsidRDefault="004F5A14" w:rsidP="009921F2">
            <w:pPr>
              <w:jc w:val="center"/>
            </w:pPr>
          </w:p>
        </w:tc>
        <w:tc>
          <w:tcPr>
            <w:tcW w:w="1335" w:type="dxa"/>
          </w:tcPr>
          <w:p w14:paraId="283BB9C5" w14:textId="77777777" w:rsidR="004F5A14" w:rsidRDefault="004F5A14" w:rsidP="009921F2">
            <w:pPr>
              <w:jc w:val="center"/>
            </w:pPr>
            <w:r w:rsidRPr="00DE6B6E">
              <w:t>Probability</w:t>
            </w:r>
          </w:p>
          <w:p w14:paraId="13FD07EF" w14:textId="5B845B0C" w:rsidR="00A22DBA" w:rsidRPr="00DE6B6E" w:rsidRDefault="00A22DBA" w:rsidP="009921F2">
            <w:pPr>
              <w:jc w:val="center"/>
            </w:pPr>
            <w:r>
              <w:t>Based on past data</w:t>
            </w:r>
          </w:p>
        </w:tc>
        <w:tc>
          <w:tcPr>
            <w:tcW w:w="1336" w:type="dxa"/>
          </w:tcPr>
          <w:p w14:paraId="6D261345" w14:textId="77777777" w:rsidR="004F5A14" w:rsidRPr="00DE6B6E" w:rsidRDefault="004F5A14" w:rsidP="009921F2">
            <w:pPr>
              <w:jc w:val="center"/>
            </w:pPr>
            <w:r w:rsidRPr="00DE6B6E">
              <w:t>Return A</w:t>
            </w:r>
          </w:p>
        </w:tc>
        <w:tc>
          <w:tcPr>
            <w:tcW w:w="1336" w:type="dxa"/>
          </w:tcPr>
          <w:p w14:paraId="68BE27CA" w14:textId="77777777" w:rsidR="004F5A14" w:rsidRDefault="004F5A14" w:rsidP="009921F2">
            <w:pPr>
              <w:jc w:val="center"/>
            </w:pPr>
            <w:r w:rsidRPr="00DE6B6E">
              <w:t>Return B</w:t>
            </w:r>
          </w:p>
        </w:tc>
        <w:tc>
          <w:tcPr>
            <w:tcW w:w="1336" w:type="dxa"/>
          </w:tcPr>
          <w:p w14:paraId="6209559C" w14:textId="77777777" w:rsidR="004F5A14" w:rsidRDefault="009921F2" w:rsidP="009921F2">
            <w:pPr>
              <w:jc w:val="center"/>
            </w:pPr>
            <w:r>
              <w:t>Return A – Expected Return A</w:t>
            </w:r>
          </w:p>
        </w:tc>
        <w:tc>
          <w:tcPr>
            <w:tcW w:w="1336" w:type="dxa"/>
          </w:tcPr>
          <w:p w14:paraId="1B262AB9" w14:textId="77777777" w:rsidR="004F5A14" w:rsidRDefault="009921F2" w:rsidP="009921F2">
            <w:pPr>
              <w:jc w:val="center"/>
            </w:pPr>
            <w:r>
              <w:t>Return B – Expected Return B</w:t>
            </w:r>
          </w:p>
        </w:tc>
        <w:tc>
          <w:tcPr>
            <w:tcW w:w="1336" w:type="dxa"/>
          </w:tcPr>
          <w:p w14:paraId="48E761AC" w14:textId="77777777" w:rsidR="00A22DBA" w:rsidRDefault="00A22DBA" w:rsidP="009921F2">
            <w:pPr>
              <w:jc w:val="center"/>
            </w:pPr>
            <w:r>
              <w:t>Future</w:t>
            </w:r>
          </w:p>
          <w:p w14:paraId="2241C803" w14:textId="6278A1E3" w:rsidR="004F5A14" w:rsidRDefault="009921F2" w:rsidP="009921F2">
            <w:pPr>
              <w:jc w:val="center"/>
            </w:pPr>
            <w:r>
              <w:t>Probability</w:t>
            </w:r>
          </w:p>
        </w:tc>
      </w:tr>
      <w:tr w:rsidR="004F5A14" w14:paraId="3BE180D0" w14:textId="77777777" w:rsidTr="004F5A14">
        <w:tc>
          <w:tcPr>
            <w:tcW w:w="1335" w:type="dxa"/>
          </w:tcPr>
          <w:p w14:paraId="11E6B653" w14:textId="77777777" w:rsidR="004F5A14" w:rsidRPr="006A3DCD" w:rsidRDefault="004F5A14" w:rsidP="009921F2">
            <w:pPr>
              <w:jc w:val="center"/>
            </w:pPr>
            <w:r w:rsidRPr="006A3DCD">
              <w:t>Good</w:t>
            </w:r>
          </w:p>
        </w:tc>
        <w:tc>
          <w:tcPr>
            <w:tcW w:w="1335" w:type="dxa"/>
          </w:tcPr>
          <w:p w14:paraId="5AED418D" w14:textId="77777777" w:rsidR="004F5A14" w:rsidRPr="006A3DCD" w:rsidRDefault="004F5A14" w:rsidP="009921F2">
            <w:pPr>
              <w:jc w:val="center"/>
            </w:pPr>
            <w:r w:rsidRPr="006A3DCD">
              <w:t>.35</w:t>
            </w:r>
          </w:p>
        </w:tc>
        <w:tc>
          <w:tcPr>
            <w:tcW w:w="1336" w:type="dxa"/>
          </w:tcPr>
          <w:p w14:paraId="5AF8AF4A" w14:textId="77777777" w:rsidR="004F5A14" w:rsidRPr="006A3DCD" w:rsidRDefault="004F5A14" w:rsidP="009921F2">
            <w:pPr>
              <w:jc w:val="center"/>
            </w:pPr>
            <w:r w:rsidRPr="006A3DCD">
              <w:t>.3</w:t>
            </w:r>
          </w:p>
        </w:tc>
        <w:tc>
          <w:tcPr>
            <w:tcW w:w="1336" w:type="dxa"/>
          </w:tcPr>
          <w:p w14:paraId="11698766" w14:textId="77777777" w:rsidR="004F5A14" w:rsidRPr="006A3DCD" w:rsidRDefault="004F5A14" w:rsidP="009921F2">
            <w:pPr>
              <w:jc w:val="center"/>
            </w:pPr>
            <w:r w:rsidRPr="006A3DCD">
              <w:t>.5</w:t>
            </w:r>
          </w:p>
        </w:tc>
        <w:tc>
          <w:tcPr>
            <w:tcW w:w="1336" w:type="dxa"/>
          </w:tcPr>
          <w:p w14:paraId="187BFB8B" w14:textId="1F3717D0" w:rsidR="00A22DBA" w:rsidRDefault="00A22DBA" w:rsidP="00A22DBA">
            <w:pPr>
              <w:jc w:val="center"/>
            </w:pPr>
            <w:r>
              <w:t>.1825</w:t>
            </w:r>
          </w:p>
        </w:tc>
        <w:tc>
          <w:tcPr>
            <w:tcW w:w="1336" w:type="dxa"/>
          </w:tcPr>
          <w:p w14:paraId="676DD2C5" w14:textId="15641473" w:rsidR="004F5A14" w:rsidRDefault="009921F2" w:rsidP="009921F2">
            <w:pPr>
              <w:jc w:val="center"/>
            </w:pPr>
            <w:r>
              <w:t>.32</w:t>
            </w:r>
          </w:p>
        </w:tc>
        <w:tc>
          <w:tcPr>
            <w:tcW w:w="1336" w:type="dxa"/>
          </w:tcPr>
          <w:p w14:paraId="7B3BB025" w14:textId="7979C501" w:rsidR="004F5A14" w:rsidRDefault="00A22DBA" w:rsidP="009921F2">
            <w:pPr>
              <w:jc w:val="center"/>
            </w:pPr>
            <w:r>
              <w:t>.02044</w:t>
            </w:r>
          </w:p>
        </w:tc>
      </w:tr>
      <w:tr w:rsidR="004F5A14" w14:paraId="5F93AF3E" w14:textId="77777777" w:rsidTr="004F5A14">
        <w:tc>
          <w:tcPr>
            <w:tcW w:w="1335" w:type="dxa"/>
          </w:tcPr>
          <w:p w14:paraId="551791B0" w14:textId="77777777" w:rsidR="004F5A14" w:rsidRPr="006A3DCD" w:rsidRDefault="004F5A14" w:rsidP="009921F2">
            <w:pPr>
              <w:jc w:val="center"/>
            </w:pPr>
            <w:r w:rsidRPr="006A3DCD">
              <w:t>Fair</w:t>
            </w:r>
          </w:p>
        </w:tc>
        <w:tc>
          <w:tcPr>
            <w:tcW w:w="1335" w:type="dxa"/>
          </w:tcPr>
          <w:p w14:paraId="043CFCE2" w14:textId="77777777" w:rsidR="004F5A14" w:rsidRPr="006A3DCD" w:rsidRDefault="004F5A14" w:rsidP="009921F2">
            <w:pPr>
              <w:jc w:val="center"/>
            </w:pPr>
            <w:r w:rsidRPr="006A3DCD">
              <w:t>.5</w:t>
            </w:r>
          </w:p>
        </w:tc>
        <w:tc>
          <w:tcPr>
            <w:tcW w:w="1336" w:type="dxa"/>
          </w:tcPr>
          <w:p w14:paraId="32BE2BD1" w14:textId="77777777" w:rsidR="004F5A14" w:rsidRPr="006A3DCD" w:rsidRDefault="004F5A14" w:rsidP="009921F2">
            <w:pPr>
              <w:jc w:val="center"/>
            </w:pPr>
            <w:r w:rsidRPr="006A3DCD">
              <w:t>.1</w:t>
            </w:r>
          </w:p>
        </w:tc>
        <w:tc>
          <w:tcPr>
            <w:tcW w:w="1336" w:type="dxa"/>
          </w:tcPr>
          <w:p w14:paraId="44A3AFDE" w14:textId="77777777" w:rsidR="004F5A14" w:rsidRPr="006A3DCD" w:rsidRDefault="004F5A14" w:rsidP="009921F2">
            <w:pPr>
              <w:jc w:val="center"/>
            </w:pPr>
            <w:r w:rsidRPr="006A3DCD">
              <w:t>.1</w:t>
            </w:r>
          </w:p>
        </w:tc>
        <w:tc>
          <w:tcPr>
            <w:tcW w:w="1336" w:type="dxa"/>
          </w:tcPr>
          <w:p w14:paraId="569EA14D" w14:textId="467051A4" w:rsidR="004F5A14" w:rsidRDefault="00A22DBA" w:rsidP="009921F2">
            <w:pPr>
              <w:jc w:val="center"/>
            </w:pPr>
            <w:r>
              <w:t>-.0175</w:t>
            </w:r>
          </w:p>
        </w:tc>
        <w:tc>
          <w:tcPr>
            <w:tcW w:w="1336" w:type="dxa"/>
          </w:tcPr>
          <w:p w14:paraId="1E9EF605" w14:textId="3B713D4B" w:rsidR="004F5A14" w:rsidRDefault="009921F2" w:rsidP="009921F2">
            <w:pPr>
              <w:jc w:val="center"/>
            </w:pPr>
            <w:r>
              <w:t>-.08</w:t>
            </w:r>
          </w:p>
        </w:tc>
        <w:tc>
          <w:tcPr>
            <w:tcW w:w="1336" w:type="dxa"/>
          </w:tcPr>
          <w:p w14:paraId="5350D8A2" w14:textId="7ED03328" w:rsidR="004F5A14" w:rsidRDefault="00A22DBA" w:rsidP="009921F2">
            <w:pPr>
              <w:jc w:val="center"/>
            </w:pPr>
            <w:r>
              <w:t>.00070</w:t>
            </w:r>
          </w:p>
        </w:tc>
      </w:tr>
      <w:tr w:rsidR="004F5A14" w14:paraId="3C7654E3" w14:textId="77777777" w:rsidTr="004F5A14">
        <w:tc>
          <w:tcPr>
            <w:tcW w:w="1335" w:type="dxa"/>
          </w:tcPr>
          <w:p w14:paraId="3FB6C90C" w14:textId="77777777" w:rsidR="004F5A14" w:rsidRPr="006A3DCD" w:rsidRDefault="004F5A14" w:rsidP="009921F2">
            <w:pPr>
              <w:jc w:val="center"/>
            </w:pPr>
            <w:r w:rsidRPr="006A3DCD">
              <w:t>Poor</w:t>
            </w:r>
          </w:p>
        </w:tc>
        <w:tc>
          <w:tcPr>
            <w:tcW w:w="1335" w:type="dxa"/>
          </w:tcPr>
          <w:p w14:paraId="624B9DEF" w14:textId="77777777" w:rsidR="004F5A14" w:rsidRPr="006A3DCD" w:rsidRDefault="004F5A14" w:rsidP="009921F2">
            <w:pPr>
              <w:jc w:val="center"/>
            </w:pPr>
            <w:r w:rsidRPr="006A3DCD">
              <w:t>.15</w:t>
            </w:r>
          </w:p>
        </w:tc>
        <w:tc>
          <w:tcPr>
            <w:tcW w:w="1336" w:type="dxa"/>
          </w:tcPr>
          <w:p w14:paraId="09F6CC18" w14:textId="77777777" w:rsidR="004F5A14" w:rsidRPr="006A3DCD" w:rsidRDefault="004F5A14" w:rsidP="009921F2">
            <w:pPr>
              <w:jc w:val="center"/>
            </w:pPr>
            <w:r w:rsidRPr="006A3DCD">
              <w:t>-.25</w:t>
            </w:r>
          </w:p>
        </w:tc>
        <w:tc>
          <w:tcPr>
            <w:tcW w:w="1336" w:type="dxa"/>
          </w:tcPr>
          <w:p w14:paraId="5C006845" w14:textId="77777777" w:rsidR="004F5A14" w:rsidRDefault="004F5A14" w:rsidP="009921F2">
            <w:pPr>
              <w:jc w:val="center"/>
            </w:pPr>
            <w:r w:rsidRPr="006A3DCD">
              <w:t>-.3</w:t>
            </w:r>
          </w:p>
        </w:tc>
        <w:tc>
          <w:tcPr>
            <w:tcW w:w="1336" w:type="dxa"/>
          </w:tcPr>
          <w:p w14:paraId="16ACF7B6" w14:textId="071D9830" w:rsidR="004F5A14" w:rsidRDefault="009921F2" w:rsidP="009921F2">
            <w:pPr>
              <w:jc w:val="center"/>
            </w:pPr>
            <w:r>
              <w:t>-</w:t>
            </w:r>
            <w:r w:rsidR="00A22DBA">
              <w:t>.3675</w:t>
            </w:r>
          </w:p>
        </w:tc>
        <w:tc>
          <w:tcPr>
            <w:tcW w:w="1336" w:type="dxa"/>
          </w:tcPr>
          <w:p w14:paraId="04A7B007" w14:textId="024944F6" w:rsidR="004F5A14" w:rsidRDefault="009921F2" w:rsidP="009921F2">
            <w:pPr>
              <w:jc w:val="center"/>
            </w:pPr>
            <w:r>
              <w:t>-.48</w:t>
            </w:r>
          </w:p>
        </w:tc>
        <w:tc>
          <w:tcPr>
            <w:tcW w:w="1336" w:type="dxa"/>
          </w:tcPr>
          <w:p w14:paraId="3018A4C8" w14:textId="0F4F591D" w:rsidR="004F5A14" w:rsidRDefault="00A22DBA" w:rsidP="009921F2">
            <w:pPr>
              <w:jc w:val="center"/>
            </w:pPr>
            <w:r>
              <w:t>.02646</w:t>
            </w:r>
          </w:p>
        </w:tc>
      </w:tr>
      <w:tr w:rsidR="009921F2" w14:paraId="0E3C0FAE" w14:textId="77777777" w:rsidTr="004F5A14">
        <w:tc>
          <w:tcPr>
            <w:tcW w:w="1335" w:type="dxa"/>
          </w:tcPr>
          <w:p w14:paraId="22A36634" w14:textId="77777777" w:rsidR="009921F2" w:rsidRPr="00BF3C0B" w:rsidRDefault="009921F2" w:rsidP="009921F2">
            <w:r w:rsidRPr="00A22DBA">
              <w:rPr>
                <w:highlight w:val="cyan"/>
              </w:rPr>
              <w:t>Expected returns</w:t>
            </w:r>
          </w:p>
        </w:tc>
        <w:tc>
          <w:tcPr>
            <w:tcW w:w="1335" w:type="dxa"/>
          </w:tcPr>
          <w:p w14:paraId="71949548" w14:textId="77777777" w:rsidR="009921F2" w:rsidRPr="00BF3C0B" w:rsidRDefault="009921F2" w:rsidP="009921F2"/>
        </w:tc>
        <w:tc>
          <w:tcPr>
            <w:tcW w:w="1336" w:type="dxa"/>
          </w:tcPr>
          <w:p w14:paraId="3DEA6E74" w14:textId="77777777" w:rsidR="009921F2" w:rsidRDefault="009921F2" w:rsidP="00A22DBA">
            <w:pPr>
              <w:jc w:val="center"/>
            </w:pPr>
            <w:r w:rsidRPr="00BF3C0B">
              <w:t>.</w:t>
            </w:r>
            <w:r w:rsidR="00A22DBA">
              <w:t>1175</w:t>
            </w:r>
          </w:p>
          <w:p w14:paraId="6C2FD46E" w14:textId="6A439650" w:rsidR="00A22DBA" w:rsidRPr="00BF3C0B" w:rsidRDefault="00A22DBA" w:rsidP="009921F2"/>
        </w:tc>
        <w:tc>
          <w:tcPr>
            <w:tcW w:w="1336" w:type="dxa"/>
          </w:tcPr>
          <w:p w14:paraId="01F561BF" w14:textId="77777777" w:rsidR="009921F2" w:rsidRDefault="009921F2" w:rsidP="00A22DBA">
            <w:pPr>
              <w:jc w:val="center"/>
            </w:pPr>
            <w:r w:rsidRPr="00BF3C0B">
              <w:t>.18</w:t>
            </w:r>
          </w:p>
        </w:tc>
        <w:tc>
          <w:tcPr>
            <w:tcW w:w="1336" w:type="dxa"/>
          </w:tcPr>
          <w:p w14:paraId="3DB39183" w14:textId="77777777" w:rsidR="009921F2" w:rsidRDefault="009921F2" w:rsidP="009921F2">
            <w:pPr>
              <w:jc w:val="center"/>
            </w:pPr>
          </w:p>
        </w:tc>
        <w:tc>
          <w:tcPr>
            <w:tcW w:w="1336" w:type="dxa"/>
          </w:tcPr>
          <w:p w14:paraId="2CE2201E" w14:textId="77777777" w:rsidR="009921F2" w:rsidRDefault="009921F2" w:rsidP="009921F2">
            <w:pPr>
              <w:jc w:val="center"/>
            </w:pPr>
          </w:p>
        </w:tc>
        <w:tc>
          <w:tcPr>
            <w:tcW w:w="1336" w:type="dxa"/>
          </w:tcPr>
          <w:p w14:paraId="7038E663" w14:textId="77777777" w:rsidR="009921F2" w:rsidRPr="00A22DBA" w:rsidRDefault="00A22DBA" w:rsidP="009921F2">
            <w:pPr>
              <w:jc w:val="center"/>
              <w:rPr>
                <w:highlight w:val="cyan"/>
              </w:rPr>
            </w:pPr>
            <w:r w:rsidRPr="00A22DBA">
              <w:rPr>
                <w:highlight w:val="cyan"/>
              </w:rPr>
              <w:t>.0476 or</w:t>
            </w:r>
          </w:p>
          <w:p w14:paraId="79F6DAFD" w14:textId="1DF0BA7E" w:rsidR="00A22DBA" w:rsidRDefault="00A22DBA" w:rsidP="009921F2">
            <w:pPr>
              <w:jc w:val="center"/>
            </w:pPr>
            <w:r w:rsidRPr="00A22DBA">
              <w:rPr>
                <w:highlight w:val="cyan"/>
              </w:rPr>
              <w:t>4.76%</w:t>
            </w:r>
          </w:p>
        </w:tc>
      </w:tr>
    </w:tbl>
    <w:p w14:paraId="31322BC0" w14:textId="42CF099E" w:rsidR="009921F2" w:rsidRDefault="009921F2" w:rsidP="009921F2">
      <w:r>
        <w:t>[</w:t>
      </w:r>
      <w:r w:rsidR="00A22DBA">
        <w:t xml:space="preserve">Future </w:t>
      </w:r>
      <w:r>
        <w:t xml:space="preserve">Probability </w:t>
      </w:r>
      <w:r w:rsidR="00A22DBA">
        <w:t>= (Probability based on past data) *</w:t>
      </w:r>
      <w:r>
        <w:t xml:space="preserve"> (</w:t>
      </w:r>
      <w:r w:rsidRPr="009921F2">
        <w:t xml:space="preserve">Return A – Expected Return </w:t>
      </w:r>
      <w:proofErr w:type="gramStart"/>
      <w:r w:rsidRPr="009921F2">
        <w:t>A</w:t>
      </w:r>
      <w:r>
        <w:t>)*</w:t>
      </w:r>
      <w:proofErr w:type="gramEnd"/>
      <w:r>
        <w:t>(</w:t>
      </w:r>
      <w:r w:rsidRPr="009921F2">
        <w:t xml:space="preserve"> </w:t>
      </w:r>
      <w:r>
        <w:t>Return B – Expected Return B)]</w:t>
      </w:r>
    </w:p>
    <w:p w14:paraId="6CC53EA9" w14:textId="474AF5C0" w:rsidR="009921F2" w:rsidRDefault="009921F2" w:rsidP="004F5A14">
      <w:pPr>
        <w:rPr>
          <w:b/>
          <w:bCs/>
        </w:rPr>
      </w:pPr>
      <w:r w:rsidRPr="009921F2">
        <w:t>=sum</w:t>
      </w:r>
      <w:r w:rsidR="00A22DBA">
        <w:t xml:space="preserve"> </w:t>
      </w:r>
      <w:r w:rsidRPr="009921F2">
        <w:t>(.02</w:t>
      </w:r>
      <w:r w:rsidR="00A22DBA">
        <w:t>044</w:t>
      </w:r>
      <w:r w:rsidRPr="009921F2">
        <w:t xml:space="preserve"> + </w:t>
      </w:r>
      <w:r w:rsidR="00A22DBA">
        <w:t>.00070</w:t>
      </w:r>
      <w:r w:rsidRPr="009921F2">
        <w:t xml:space="preserve"> + .</w:t>
      </w:r>
      <w:r w:rsidR="00A22DBA" w:rsidRPr="009921F2">
        <w:t>02</w:t>
      </w:r>
      <w:r w:rsidR="00A22DBA">
        <w:t>646</w:t>
      </w:r>
      <w:r w:rsidR="00A22DBA" w:rsidRPr="009921F2">
        <w:t>)</w:t>
      </w:r>
      <w:r w:rsidRPr="009921F2">
        <w:t xml:space="preserve"> = </w:t>
      </w:r>
      <w:r w:rsidRPr="00A22DBA">
        <w:rPr>
          <w:b/>
          <w:bCs/>
          <w:highlight w:val="cyan"/>
        </w:rPr>
        <w:t>4.7600%</w:t>
      </w:r>
    </w:p>
    <w:p w14:paraId="6601D865" w14:textId="77777777" w:rsidR="00261718" w:rsidRDefault="00261718" w:rsidP="00261718">
      <w:pPr>
        <w:pStyle w:val="Heading2"/>
      </w:pPr>
      <w:r w:rsidRPr="00261718">
        <w:t>Portfolio</w:t>
      </w:r>
      <w:r>
        <w:t xml:space="preserve"> and Systematic</w:t>
      </w:r>
      <w:r w:rsidRPr="00261718">
        <w:t xml:space="preserve"> Risk</w:t>
      </w:r>
    </w:p>
    <w:p w14:paraId="6FD79665" w14:textId="77777777" w:rsidR="00261718" w:rsidRDefault="001065C1" w:rsidP="00261718">
      <w:r w:rsidRPr="00261718">
        <w:rPr>
          <w:b/>
          <w:bCs/>
        </w:rPr>
        <w:t>Po</w:t>
      </w:r>
      <w:r w:rsidR="00261718">
        <w:rPr>
          <w:b/>
          <w:bCs/>
        </w:rPr>
        <w:t>rtfolio with more than one asset</w:t>
      </w:r>
      <w:r w:rsidR="00261718" w:rsidRPr="00261718">
        <w:t>- Investors can diversify away risk unique to individual assets, but cannot diversify away risk c</w:t>
      </w:r>
      <w:r w:rsidR="00261718">
        <w:t>ommon to all assets, i.e., they</w:t>
      </w:r>
      <w:r w:rsidR="00261718" w:rsidRPr="00261718">
        <w:t xml:space="preserve"> can not eliminate </w:t>
      </w:r>
      <w:r w:rsidR="00261718" w:rsidRPr="00261718">
        <w:rPr>
          <w:b/>
          <w:bCs/>
          <w:i/>
          <w:iCs/>
        </w:rPr>
        <w:t xml:space="preserve">systematic </w:t>
      </w:r>
      <w:r w:rsidR="00261718" w:rsidRPr="00261718">
        <w:t>or market risk. With complete</w:t>
      </w:r>
      <w:r w:rsidR="00261718">
        <w:t xml:space="preserve"> </w:t>
      </w:r>
      <w:r w:rsidR="00261718" w:rsidRPr="00261718">
        <w:t xml:space="preserve">diversification, all </w:t>
      </w:r>
      <w:r w:rsidR="00261718" w:rsidRPr="00261718">
        <w:rPr>
          <w:b/>
          <w:bCs/>
          <w:i/>
          <w:iCs/>
        </w:rPr>
        <w:t>unique</w:t>
      </w:r>
      <w:r w:rsidR="00261718" w:rsidRPr="00261718">
        <w:t xml:space="preserve"> ( or </w:t>
      </w:r>
      <w:r w:rsidR="00261718" w:rsidRPr="00261718">
        <w:rPr>
          <w:b/>
          <w:bCs/>
          <w:i/>
          <w:iCs/>
        </w:rPr>
        <w:t>unsystematic</w:t>
      </w:r>
      <w:r w:rsidR="00261718">
        <w:t xml:space="preserve">) risk is eliminated </w:t>
      </w:r>
      <w:r w:rsidR="00261718" w:rsidRPr="00261718">
        <w:t xml:space="preserve">from portfolio; investor still faces </w:t>
      </w:r>
      <w:r w:rsidR="00261718" w:rsidRPr="00261718">
        <w:rPr>
          <w:b/>
          <w:bCs/>
          <w:i/>
          <w:iCs/>
        </w:rPr>
        <w:t>systematic</w:t>
      </w:r>
      <w:r w:rsidR="00261718" w:rsidRPr="00261718">
        <w:t xml:space="preserve"> risk.</w:t>
      </w:r>
    </w:p>
    <w:p w14:paraId="3CB19CA0" w14:textId="77777777" w:rsidR="00261718" w:rsidRPr="00261718" w:rsidRDefault="00261718" w:rsidP="00261718">
      <w:r w:rsidRPr="00261718">
        <w:rPr>
          <w:b/>
          <w:bCs/>
        </w:rPr>
        <w:t xml:space="preserve">Systematic risk  is all that </w:t>
      </w:r>
      <w:r w:rsidRPr="00261718">
        <w:rPr>
          <w:b/>
          <w:bCs/>
          <w:i/>
          <w:iCs/>
        </w:rPr>
        <w:t xml:space="preserve">matters.  </w:t>
      </w:r>
      <w:r w:rsidRPr="00261718">
        <w:t>Why?</w:t>
      </w:r>
    </w:p>
    <w:p w14:paraId="04D26A63" w14:textId="77777777" w:rsidR="00261718" w:rsidRDefault="00261718" w:rsidP="00261718">
      <w:r w:rsidRPr="00261718">
        <w:t>Diversified investors face only systematic risk</w:t>
      </w:r>
      <w:r>
        <w:t xml:space="preserve">; others face systematic risk </w:t>
      </w:r>
      <w:r w:rsidRPr="00261718">
        <w:t>plus some unsystematic risk.  Hence, Di</w:t>
      </w:r>
      <w:r>
        <w:t xml:space="preserve">versified investors will be more </w:t>
      </w:r>
      <w:r w:rsidRPr="00261718">
        <w:t>willing to pay higher prices for individual assets than other investors.</w:t>
      </w:r>
    </w:p>
    <w:p w14:paraId="17481DA7" w14:textId="77777777" w:rsidR="00261718" w:rsidRPr="00261718" w:rsidRDefault="00261718" w:rsidP="00261718">
      <w:r w:rsidRPr="00261718">
        <w:t xml:space="preserve">Expected returns on individual assets will be lower than </w:t>
      </w:r>
      <w:r w:rsidRPr="00261718">
        <w:rPr>
          <w:u w:val="single"/>
        </w:rPr>
        <w:t xml:space="preserve">total risk </w:t>
      </w:r>
      <w:r w:rsidRPr="00261718">
        <w:t>of those</w:t>
      </w:r>
      <w:r>
        <w:t xml:space="preserve"> </w:t>
      </w:r>
      <w:r w:rsidRPr="00261718">
        <w:t xml:space="preserve">assets suggests they should be. </w:t>
      </w:r>
      <w:r w:rsidRPr="00261718">
        <w:rPr>
          <w:u w:val="single"/>
        </w:rPr>
        <w:t>Only syste</w:t>
      </w:r>
      <w:r>
        <w:rPr>
          <w:u w:val="single"/>
        </w:rPr>
        <w:t>matic risk is rewarded in asset</w:t>
      </w:r>
      <w:r>
        <w:t xml:space="preserve"> </w:t>
      </w:r>
      <w:r w:rsidRPr="00261718">
        <w:rPr>
          <w:u w:val="single"/>
        </w:rPr>
        <w:t>markets</w:t>
      </w:r>
      <w:r w:rsidRPr="00261718">
        <w:t>.</w:t>
      </w:r>
      <w:r w:rsidRPr="00261718">
        <w:rPr>
          <w:u w:val="single"/>
        </w:rPr>
        <w:t xml:space="preserve"> </w:t>
      </w:r>
    </w:p>
    <w:p w14:paraId="44A6404C" w14:textId="77777777" w:rsidR="00261718" w:rsidRDefault="00261718" w:rsidP="00261718">
      <w:r>
        <w:t>Measuring systematic risk</w:t>
      </w:r>
    </w:p>
    <w:p w14:paraId="38FD7907" w14:textId="77777777" w:rsidR="00261718" w:rsidRDefault="00261718" w:rsidP="00261718">
      <w:r>
        <w:t>Systematic risk cannot be measured by standard deviation. σ measures total risk. Since systematic risk is, by definition, risk that cannot be diversified away, systematic risk (or market risk) of an individual asset is really just a measure of relationship between returns on individual asset and returns on market. It can be found by regressing returns on the asset on the returns on the market (e.g., S&amp;P 500).</w:t>
      </w:r>
    </w:p>
    <w:p w14:paraId="6F18DE14" w14:textId="77777777" w:rsidR="00261718" w:rsidRPr="00261718" w:rsidRDefault="00261718" w:rsidP="00261718">
      <w:r>
        <w:t>- Beta (β ): The slope of the line of best fit.</w:t>
      </w:r>
    </w:p>
    <w:p w14:paraId="280C8B9F" w14:textId="77777777" w:rsidR="00261718" w:rsidRPr="00261718" w:rsidRDefault="00261718" w:rsidP="00261718">
      <w:r w:rsidRPr="00261718">
        <w:lastRenderedPageBreak/>
        <w:t xml:space="preserve">Compensation for bearing systematic risk: </w:t>
      </w:r>
    </w:p>
    <w:p w14:paraId="04550B09" w14:textId="77777777" w:rsidR="00261718" w:rsidRPr="00261718" w:rsidRDefault="00261718" w:rsidP="00261718">
      <w:r w:rsidRPr="00261718">
        <w:t xml:space="preserve">Government securities are </w:t>
      </w:r>
      <w:r>
        <w:t xml:space="preserve">risk free. Their holders are not </w:t>
      </w:r>
      <w:r w:rsidRPr="00261718">
        <w:t>compensated for bear</w:t>
      </w:r>
      <w:r>
        <w:t xml:space="preserve">ing any systematic risk. Hence, </w:t>
      </w:r>
      <w:r w:rsidRPr="00261718">
        <w:t xml:space="preserve">expected return on </w:t>
      </w:r>
      <w:proofErr w:type="spellStart"/>
      <w:r w:rsidRPr="00261718">
        <w:t>ith</w:t>
      </w:r>
      <w:proofErr w:type="spellEnd"/>
      <w:r w:rsidRPr="00261718">
        <w:t xml:space="preserve"> asset is</w:t>
      </w:r>
    </w:p>
    <w:p w14:paraId="4D951B8E" w14:textId="77777777" w:rsidR="00261718" w:rsidRPr="00261718" w:rsidRDefault="00261718" w:rsidP="00261718">
      <w:r w:rsidRPr="00261718">
        <w:t xml:space="preserve">E(Ri) = </w:t>
      </w:r>
      <w:proofErr w:type="spellStart"/>
      <w:r w:rsidRPr="00261718">
        <w:t>Rrf</w:t>
      </w:r>
      <w:proofErr w:type="spellEnd"/>
      <w:r w:rsidRPr="00261718">
        <w:t xml:space="preserve"> + Compensation for taking Risk</w:t>
      </w:r>
      <w:r>
        <w:t xml:space="preserve"> </w:t>
      </w:r>
      <w:proofErr w:type="spellStart"/>
      <w:r w:rsidRPr="00261718">
        <w:t>i</w:t>
      </w:r>
      <w:proofErr w:type="spellEnd"/>
      <w:r w:rsidRPr="00261718">
        <w:t xml:space="preserve">. </w:t>
      </w:r>
    </w:p>
    <w:p w14:paraId="6C4EF4C5" w14:textId="77777777" w:rsidR="00261718" w:rsidRPr="00261718" w:rsidRDefault="00261718" w:rsidP="00261718">
      <w:r>
        <w:t>O</w:t>
      </w:r>
      <w:r w:rsidRPr="00261718">
        <w:t xml:space="preserve">r, </w:t>
      </w:r>
      <w:r>
        <w:t xml:space="preserve"> E(Ri) = </w:t>
      </w:r>
      <w:proofErr w:type="spellStart"/>
      <w:r>
        <w:t>Rrf</w:t>
      </w:r>
      <w:proofErr w:type="spellEnd"/>
      <w:r>
        <w:t xml:space="preserve"> + (Units of Risk </w:t>
      </w:r>
      <w:proofErr w:type="spellStart"/>
      <w:r>
        <w:t>i</w:t>
      </w:r>
      <w:proofErr w:type="spellEnd"/>
      <w:r w:rsidRPr="00261718">
        <w:t xml:space="preserve"> compensation per unit of risk).</w:t>
      </w:r>
    </w:p>
    <w:p w14:paraId="2C110FC5" w14:textId="77777777" w:rsidR="00261718" w:rsidRPr="00261718" w:rsidRDefault="00261718" w:rsidP="00261718">
      <w:r>
        <w:t xml:space="preserve">Or,  E(Ri) = </w:t>
      </w:r>
      <w:proofErr w:type="spellStart"/>
      <w:r>
        <w:t>Rrf</w:t>
      </w:r>
      <w:proofErr w:type="spellEnd"/>
      <w:r>
        <w:t xml:space="preserve"> + (β</w:t>
      </w:r>
      <w:proofErr w:type="spellStart"/>
      <w:r>
        <w:t>i</w:t>
      </w:r>
      <w:proofErr w:type="spellEnd"/>
      <w:r w:rsidRPr="00261718">
        <w:t xml:space="preserve"> compensation per unit of risk).</w:t>
      </w:r>
    </w:p>
    <w:p w14:paraId="2596C91E" w14:textId="77777777" w:rsidR="00261718" w:rsidRDefault="00261718" w:rsidP="00261718">
      <w:r>
        <w:t>We know that</w:t>
      </w:r>
      <w:r w:rsidRPr="00261718">
        <w:t xml:space="preserve"> compensation per unit of</w:t>
      </w:r>
      <w:r>
        <w:t xml:space="preserve"> systematic risk = E(Rm) – </w:t>
      </w:r>
      <w:proofErr w:type="spellStart"/>
      <w:r>
        <w:t>Rrf</w:t>
      </w:r>
      <w:proofErr w:type="spellEnd"/>
      <w:r>
        <w:t xml:space="preserve">. </w:t>
      </w:r>
      <w:r w:rsidRPr="00261718">
        <w:t xml:space="preserve">Hence,  E(Ri) = </w:t>
      </w:r>
      <w:proofErr w:type="spellStart"/>
      <w:r w:rsidRPr="00261718">
        <w:t>Rrf</w:t>
      </w:r>
      <w:proofErr w:type="spellEnd"/>
      <w:r w:rsidRPr="00261718">
        <w:t xml:space="preserve"> + β</w:t>
      </w:r>
      <w:proofErr w:type="spellStart"/>
      <w:r w:rsidRPr="00261718">
        <w:t>i</w:t>
      </w:r>
      <w:proofErr w:type="spellEnd"/>
      <w:r w:rsidRPr="00261718">
        <w:t xml:space="preserve">(E(Rm) – </w:t>
      </w:r>
      <w:proofErr w:type="spellStart"/>
      <w:r w:rsidRPr="00261718">
        <w:t>Rrf</w:t>
      </w:r>
      <w:proofErr w:type="spellEnd"/>
      <w:r w:rsidRPr="00261718">
        <w:t>).</w:t>
      </w:r>
    </w:p>
    <w:p w14:paraId="24AE417E" w14:textId="77777777" w:rsidR="00261718" w:rsidRDefault="004938B5" w:rsidP="004938B5">
      <w:pPr>
        <w:pStyle w:val="Heading2"/>
      </w:pPr>
      <w:r w:rsidRPr="004938B5">
        <w:t>Capital Asset Pricing Model</w:t>
      </w:r>
    </w:p>
    <w:p w14:paraId="4C133E16" w14:textId="77777777" w:rsidR="004938B5" w:rsidRDefault="004938B5" w:rsidP="004938B5">
      <w:r w:rsidRPr="004938B5">
        <w:t>Framework for analyzing the relationship b</w:t>
      </w:r>
      <w:r>
        <w:t>etween risk and rates of return.</w:t>
      </w:r>
    </w:p>
    <w:p w14:paraId="1941BE7E" w14:textId="77777777" w:rsidR="004938B5" w:rsidRPr="004938B5" w:rsidRDefault="004938B5" w:rsidP="004938B5">
      <w:r w:rsidRPr="004938B5">
        <w:rPr>
          <w:noProof/>
        </w:rPr>
        <w:drawing>
          <wp:inline distT="0" distB="0" distL="0" distR="0" wp14:anchorId="58A1C7D0" wp14:editId="517B6814">
            <wp:extent cx="5626100" cy="2146300"/>
            <wp:effectExtent l="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2"/>
                    <a:stretch>
                      <a:fillRect/>
                    </a:stretch>
                  </pic:blipFill>
                  <pic:spPr>
                    <a:xfrm>
                      <a:off x="0" y="0"/>
                      <a:ext cx="5626100" cy="2146300"/>
                    </a:xfrm>
                    <a:prstGeom prst="rect">
                      <a:avLst/>
                    </a:prstGeom>
                  </pic:spPr>
                </pic:pic>
              </a:graphicData>
            </a:graphic>
          </wp:inline>
        </w:drawing>
      </w:r>
    </w:p>
    <w:p w14:paraId="0A359BDA" w14:textId="77777777" w:rsidR="00261718" w:rsidRDefault="004938B5" w:rsidP="004938B5">
      <w:r w:rsidRPr="004938B5">
        <w:rPr>
          <w:b/>
          <w:bCs/>
        </w:rPr>
        <w:t>Risk Free Rate</w:t>
      </w:r>
      <w:r>
        <w:rPr>
          <w:b/>
          <w:bCs/>
        </w:rPr>
        <w:t xml:space="preserve"> - </w:t>
      </w:r>
      <w:r w:rsidRPr="004938B5">
        <w:t>The rate expected on an investment that has zero risk.  The US T-bill rate is frequently used as the measure for the risk free rate</w:t>
      </w:r>
      <w:r>
        <w:t>.</w:t>
      </w:r>
    </w:p>
    <w:p w14:paraId="45A8B6E3" w14:textId="77777777" w:rsidR="004938B5" w:rsidRPr="004938B5" w:rsidRDefault="004938B5" w:rsidP="004938B5">
      <w:r w:rsidRPr="004938B5">
        <w:rPr>
          <w:b/>
          <w:bCs/>
        </w:rPr>
        <w:t>Beta Coefficient</w:t>
      </w:r>
      <w:r>
        <w:rPr>
          <w:b/>
          <w:bCs/>
        </w:rPr>
        <w:t xml:space="preserve"> - </w:t>
      </w:r>
      <w:r w:rsidRPr="004938B5">
        <w:t>Measure of a stock’s movement relative to an average stock</w:t>
      </w:r>
      <w:r>
        <w:t xml:space="preserve">. </w:t>
      </w:r>
      <w:r w:rsidRPr="004938B5">
        <w:t>An average risk stock is one that tends to move up and down with the market as measured by an index such as the Dow or the S&amp;P 500</w:t>
      </w:r>
      <w:r>
        <w:t>.</w:t>
      </w:r>
    </w:p>
    <w:p w14:paraId="747D013F" w14:textId="77777777" w:rsidR="004938B5" w:rsidRPr="004938B5" w:rsidRDefault="004938B5" w:rsidP="004938B5">
      <w:r>
        <w:t>Some b</w:t>
      </w:r>
      <w:r w:rsidRPr="004938B5">
        <w:t>enchmark betas</w:t>
      </w:r>
      <w:r>
        <w:t>:</w:t>
      </w:r>
    </w:p>
    <w:p w14:paraId="7AA5C578" w14:textId="77777777" w:rsidR="004938B5" w:rsidRPr="004938B5" w:rsidRDefault="004938B5" w:rsidP="004938B5">
      <w:r w:rsidRPr="004938B5">
        <w:t>b = .05: Stock is ½ as volatile (risky) as the avg. stock</w:t>
      </w:r>
    </w:p>
    <w:p w14:paraId="449588E6" w14:textId="77777777" w:rsidR="004938B5" w:rsidRPr="004938B5" w:rsidRDefault="004938B5" w:rsidP="004938B5">
      <w:r w:rsidRPr="004938B5">
        <w:t xml:space="preserve">b = 1.0: Stock is </w:t>
      </w:r>
      <w:proofErr w:type="spellStart"/>
      <w:r w:rsidRPr="004938B5">
        <w:t>avg</w:t>
      </w:r>
      <w:proofErr w:type="spellEnd"/>
      <w:r w:rsidRPr="004938B5">
        <w:t xml:space="preserve"> risk</w:t>
      </w:r>
    </w:p>
    <w:p w14:paraId="37B1C695" w14:textId="77777777" w:rsidR="004938B5" w:rsidRPr="004938B5" w:rsidRDefault="004938B5" w:rsidP="004938B5">
      <w:r w:rsidRPr="004938B5">
        <w:t>b= 2.0: Stock is twice as volatile</w:t>
      </w:r>
    </w:p>
    <w:p w14:paraId="3A1C129A" w14:textId="77777777" w:rsidR="004938B5" w:rsidRDefault="004938B5" w:rsidP="004938B5">
      <w:r w:rsidRPr="004938B5">
        <w:rPr>
          <w:b/>
          <w:bCs/>
        </w:rPr>
        <w:t>Beta Portfolio</w:t>
      </w:r>
      <w:r>
        <w:rPr>
          <w:b/>
          <w:bCs/>
        </w:rPr>
        <w:t xml:space="preserve"> – </w:t>
      </w:r>
      <w:r>
        <w:t>Measure of the portfolios volatility.</w:t>
      </w:r>
    </w:p>
    <w:p w14:paraId="62027AEE" w14:textId="77777777" w:rsidR="004938B5" w:rsidRDefault="004938B5" w:rsidP="004938B5">
      <w:r>
        <w:t>The beta of a portfolio is determined by the weighted average sum of each of the individual stocks</w:t>
      </w:r>
    </w:p>
    <w:p w14:paraId="1432E643" w14:textId="77777777" w:rsidR="004938B5" w:rsidRDefault="004938B5" w:rsidP="004938B5">
      <w:r>
        <w:t>Weighted average = Percent of Portfolio * Beta</w:t>
      </w:r>
    </w:p>
    <w:p w14:paraId="7FB85E18" w14:textId="77777777" w:rsidR="004938B5" w:rsidRDefault="004938B5" w:rsidP="004938B5">
      <w:r>
        <w:t>Portfolio Weight = Market Value/Total Market Value</w:t>
      </w:r>
    </w:p>
    <w:p w14:paraId="5EFEC30A" w14:textId="77777777" w:rsidR="005C517F" w:rsidRDefault="005C517F" w:rsidP="005C517F">
      <w:pPr>
        <w:pStyle w:val="Heading2"/>
      </w:pPr>
      <w:r w:rsidRPr="005C517F">
        <w:lastRenderedPageBreak/>
        <w:t>Security Market Line</w:t>
      </w:r>
    </w:p>
    <w:p w14:paraId="6E8D4E71" w14:textId="77777777" w:rsidR="005C517F" w:rsidRDefault="005C517F" w:rsidP="005C517F">
      <w:r w:rsidRPr="005C517F">
        <w:t>Visual representation of CAPM</w:t>
      </w:r>
    </w:p>
    <w:p w14:paraId="3E072FE6" w14:textId="77777777" w:rsidR="005C517F" w:rsidRPr="005C517F" w:rsidRDefault="005C517F" w:rsidP="005C517F">
      <w:r>
        <w:rPr>
          <w:noProof/>
        </w:rPr>
        <w:drawing>
          <wp:inline distT="0" distB="0" distL="0" distR="0" wp14:anchorId="0654A83A" wp14:editId="78C66E31">
            <wp:extent cx="4279900" cy="382270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79900" cy="3822700"/>
                    </a:xfrm>
                    <a:prstGeom prst="rect">
                      <a:avLst/>
                    </a:prstGeom>
                    <a:noFill/>
                  </pic:spPr>
                </pic:pic>
              </a:graphicData>
            </a:graphic>
          </wp:inline>
        </w:drawing>
      </w:r>
    </w:p>
    <w:sectPr w:rsidR="005C517F" w:rsidRPr="005C517F">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26CD1" w14:textId="77777777" w:rsidR="00C755D9" w:rsidRDefault="00C755D9" w:rsidP="00BF3AAF">
      <w:pPr>
        <w:spacing w:after="0" w:line="240" w:lineRule="auto"/>
      </w:pPr>
      <w:r>
        <w:separator/>
      </w:r>
    </w:p>
  </w:endnote>
  <w:endnote w:type="continuationSeparator" w:id="0">
    <w:p w14:paraId="6672E6AA" w14:textId="77777777" w:rsidR="00C755D9" w:rsidRDefault="00C755D9" w:rsidP="00BF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1347F" w14:textId="77777777" w:rsidR="00BF3AAF" w:rsidRDefault="00BF3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8082280"/>
      <w:docPartObj>
        <w:docPartGallery w:val="Page Numbers (Bottom of Page)"/>
        <w:docPartUnique/>
      </w:docPartObj>
    </w:sdtPr>
    <w:sdtEndPr>
      <w:rPr>
        <w:noProof/>
      </w:rPr>
    </w:sdtEndPr>
    <w:sdtContent>
      <w:p w14:paraId="379D34B5" w14:textId="77777777" w:rsidR="00BF3AAF" w:rsidRDefault="00BF3AAF">
        <w:pPr>
          <w:pStyle w:val="Footer"/>
          <w:jc w:val="center"/>
        </w:pPr>
        <w:r>
          <w:fldChar w:fldCharType="begin"/>
        </w:r>
        <w:r>
          <w:instrText xml:space="preserve"> PAGE   \* MERGEFORMAT </w:instrText>
        </w:r>
        <w:r>
          <w:fldChar w:fldCharType="separate"/>
        </w:r>
        <w:r w:rsidR="00035EAD">
          <w:rPr>
            <w:noProof/>
          </w:rPr>
          <w:t>1</w:t>
        </w:r>
        <w:r>
          <w:rPr>
            <w:noProof/>
          </w:rPr>
          <w:fldChar w:fldCharType="end"/>
        </w:r>
      </w:p>
    </w:sdtContent>
  </w:sdt>
  <w:p w14:paraId="24FBDE1F" w14:textId="77777777" w:rsidR="00BF3AAF" w:rsidRDefault="00BF3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24361" w14:textId="77777777" w:rsidR="00BF3AAF" w:rsidRDefault="00BF3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B576D1" w14:textId="77777777" w:rsidR="00C755D9" w:rsidRDefault="00C755D9" w:rsidP="00BF3AAF">
      <w:pPr>
        <w:spacing w:after="0" w:line="240" w:lineRule="auto"/>
      </w:pPr>
      <w:r>
        <w:separator/>
      </w:r>
    </w:p>
  </w:footnote>
  <w:footnote w:type="continuationSeparator" w:id="0">
    <w:p w14:paraId="6D521FD5" w14:textId="77777777" w:rsidR="00C755D9" w:rsidRDefault="00C755D9" w:rsidP="00BF3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A80750" w14:textId="77777777" w:rsidR="00BF3AAF" w:rsidRDefault="00BF3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1E6D5" w14:textId="77777777" w:rsidR="00BF3AAF" w:rsidRDefault="00BF3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3A674" w14:textId="77777777" w:rsidR="00BF3AAF" w:rsidRDefault="00BF3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40097"/>
    <w:multiLevelType w:val="hybridMultilevel"/>
    <w:tmpl w:val="C3FC4976"/>
    <w:lvl w:ilvl="0" w:tplc="81809E20">
      <w:start w:val="1"/>
      <w:numFmt w:val="decimal"/>
      <w:lvlText w:val="%1."/>
      <w:lvlJc w:val="left"/>
      <w:pPr>
        <w:ind w:left="828" w:hanging="46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306818"/>
    <w:multiLevelType w:val="hybridMultilevel"/>
    <w:tmpl w:val="4D588812"/>
    <w:lvl w:ilvl="0" w:tplc="9A343AB0">
      <w:start w:val="1"/>
      <w:numFmt w:val="bullet"/>
      <w:lvlText w:val="•"/>
      <w:lvlJc w:val="left"/>
      <w:pPr>
        <w:tabs>
          <w:tab w:val="num" w:pos="720"/>
        </w:tabs>
        <w:ind w:left="720" w:hanging="360"/>
      </w:pPr>
      <w:rPr>
        <w:rFonts w:ascii="Arial" w:hAnsi="Arial" w:hint="default"/>
      </w:rPr>
    </w:lvl>
    <w:lvl w:ilvl="1" w:tplc="DA2208C4" w:tentative="1">
      <w:start w:val="1"/>
      <w:numFmt w:val="bullet"/>
      <w:lvlText w:val="•"/>
      <w:lvlJc w:val="left"/>
      <w:pPr>
        <w:tabs>
          <w:tab w:val="num" w:pos="1440"/>
        </w:tabs>
        <w:ind w:left="1440" w:hanging="360"/>
      </w:pPr>
      <w:rPr>
        <w:rFonts w:ascii="Arial" w:hAnsi="Arial" w:hint="default"/>
      </w:rPr>
    </w:lvl>
    <w:lvl w:ilvl="2" w:tplc="BDB2FEB4" w:tentative="1">
      <w:start w:val="1"/>
      <w:numFmt w:val="bullet"/>
      <w:lvlText w:val="•"/>
      <w:lvlJc w:val="left"/>
      <w:pPr>
        <w:tabs>
          <w:tab w:val="num" w:pos="2160"/>
        </w:tabs>
        <w:ind w:left="2160" w:hanging="360"/>
      </w:pPr>
      <w:rPr>
        <w:rFonts w:ascii="Arial" w:hAnsi="Arial" w:hint="default"/>
      </w:rPr>
    </w:lvl>
    <w:lvl w:ilvl="3" w:tplc="DEE208C0" w:tentative="1">
      <w:start w:val="1"/>
      <w:numFmt w:val="bullet"/>
      <w:lvlText w:val="•"/>
      <w:lvlJc w:val="left"/>
      <w:pPr>
        <w:tabs>
          <w:tab w:val="num" w:pos="2880"/>
        </w:tabs>
        <w:ind w:left="2880" w:hanging="360"/>
      </w:pPr>
      <w:rPr>
        <w:rFonts w:ascii="Arial" w:hAnsi="Arial" w:hint="default"/>
      </w:rPr>
    </w:lvl>
    <w:lvl w:ilvl="4" w:tplc="2A6030E0" w:tentative="1">
      <w:start w:val="1"/>
      <w:numFmt w:val="bullet"/>
      <w:lvlText w:val="•"/>
      <w:lvlJc w:val="left"/>
      <w:pPr>
        <w:tabs>
          <w:tab w:val="num" w:pos="3600"/>
        </w:tabs>
        <w:ind w:left="3600" w:hanging="360"/>
      </w:pPr>
      <w:rPr>
        <w:rFonts w:ascii="Arial" w:hAnsi="Arial" w:hint="default"/>
      </w:rPr>
    </w:lvl>
    <w:lvl w:ilvl="5" w:tplc="7A465F08" w:tentative="1">
      <w:start w:val="1"/>
      <w:numFmt w:val="bullet"/>
      <w:lvlText w:val="•"/>
      <w:lvlJc w:val="left"/>
      <w:pPr>
        <w:tabs>
          <w:tab w:val="num" w:pos="4320"/>
        </w:tabs>
        <w:ind w:left="4320" w:hanging="360"/>
      </w:pPr>
      <w:rPr>
        <w:rFonts w:ascii="Arial" w:hAnsi="Arial" w:hint="default"/>
      </w:rPr>
    </w:lvl>
    <w:lvl w:ilvl="6" w:tplc="2C6A2A9A" w:tentative="1">
      <w:start w:val="1"/>
      <w:numFmt w:val="bullet"/>
      <w:lvlText w:val="•"/>
      <w:lvlJc w:val="left"/>
      <w:pPr>
        <w:tabs>
          <w:tab w:val="num" w:pos="5040"/>
        </w:tabs>
        <w:ind w:left="5040" w:hanging="360"/>
      </w:pPr>
      <w:rPr>
        <w:rFonts w:ascii="Arial" w:hAnsi="Arial" w:hint="default"/>
      </w:rPr>
    </w:lvl>
    <w:lvl w:ilvl="7" w:tplc="A0323C6C" w:tentative="1">
      <w:start w:val="1"/>
      <w:numFmt w:val="bullet"/>
      <w:lvlText w:val="•"/>
      <w:lvlJc w:val="left"/>
      <w:pPr>
        <w:tabs>
          <w:tab w:val="num" w:pos="5760"/>
        </w:tabs>
        <w:ind w:left="5760" w:hanging="360"/>
      </w:pPr>
      <w:rPr>
        <w:rFonts w:ascii="Arial" w:hAnsi="Arial" w:hint="default"/>
      </w:rPr>
    </w:lvl>
    <w:lvl w:ilvl="8" w:tplc="7884C93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8827902"/>
    <w:multiLevelType w:val="hybridMultilevel"/>
    <w:tmpl w:val="19344F44"/>
    <w:lvl w:ilvl="0" w:tplc="81809E20">
      <w:start w:val="1"/>
      <w:numFmt w:val="decimal"/>
      <w:lvlText w:val="%1."/>
      <w:lvlJc w:val="left"/>
      <w:pPr>
        <w:ind w:left="828" w:hanging="46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2D24B9"/>
    <w:multiLevelType w:val="hybridMultilevel"/>
    <w:tmpl w:val="F0A0C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791BE5"/>
    <w:multiLevelType w:val="hybridMultilevel"/>
    <w:tmpl w:val="CDF4B8F6"/>
    <w:lvl w:ilvl="0" w:tplc="3984F17A">
      <w:start w:val="1"/>
      <w:numFmt w:val="bullet"/>
      <w:lvlText w:val="•"/>
      <w:lvlJc w:val="left"/>
      <w:pPr>
        <w:tabs>
          <w:tab w:val="num" w:pos="720"/>
        </w:tabs>
        <w:ind w:left="720" w:hanging="360"/>
      </w:pPr>
      <w:rPr>
        <w:rFonts w:ascii="Times New Roman" w:hAnsi="Times New Roman" w:hint="default"/>
      </w:rPr>
    </w:lvl>
    <w:lvl w:ilvl="1" w:tplc="89424512" w:tentative="1">
      <w:start w:val="1"/>
      <w:numFmt w:val="bullet"/>
      <w:lvlText w:val="•"/>
      <w:lvlJc w:val="left"/>
      <w:pPr>
        <w:tabs>
          <w:tab w:val="num" w:pos="1440"/>
        </w:tabs>
        <w:ind w:left="1440" w:hanging="360"/>
      </w:pPr>
      <w:rPr>
        <w:rFonts w:ascii="Times New Roman" w:hAnsi="Times New Roman" w:hint="default"/>
      </w:rPr>
    </w:lvl>
    <w:lvl w:ilvl="2" w:tplc="26AAB5F2" w:tentative="1">
      <w:start w:val="1"/>
      <w:numFmt w:val="bullet"/>
      <w:lvlText w:val="•"/>
      <w:lvlJc w:val="left"/>
      <w:pPr>
        <w:tabs>
          <w:tab w:val="num" w:pos="2160"/>
        </w:tabs>
        <w:ind w:left="2160" w:hanging="360"/>
      </w:pPr>
      <w:rPr>
        <w:rFonts w:ascii="Times New Roman" w:hAnsi="Times New Roman" w:hint="default"/>
      </w:rPr>
    </w:lvl>
    <w:lvl w:ilvl="3" w:tplc="8CBA2008" w:tentative="1">
      <w:start w:val="1"/>
      <w:numFmt w:val="bullet"/>
      <w:lvlText w:val="•"/>
      <w:lvlJc w:val="left"/>
      <w:pPr>
        <w:tabs>
          <w:tab w:val="num" w:pos="2880"/>
        </w:tabs>
        <w:ind w:left="2880" w:hanging="360"/>
      </w:pPr>
      <w:rPr>
        <w:rFonts w:ascii="Times New Roman" w:hAnsi="Times New Roman" w:hint="default"/>
      </w:rPr>
    </w:lvl>
    <w:lvl w:ilvl="4" w:tplc="434E769A" w:tentative="1">
      <w:start w:val="1"/>
      <w:numFmt w:val="bullet"/>
      <w:lvlText w:val="•"/>
      <w:lvlJc w:val="left"/>
      <w:pPr>
        <w:tabs>
          <w:tab w:val="num" w:pos="3600"/>
        </w:tabs>
        <w:ind w:left="3600" w:hanging="360"/>
      </w:pPr>
      <w:rPr>
        <w:rFonts w:ascii="Times New Roman" w:hAnsi="Times New Roman" w:hint="default"/>
      </w:rPr>
    </w:lvl>
    <w:lvl w:ilvl="5" w:tplc="7A80FBA8" w:tentative="1">
      <w:start w:val="1"/>
      <w:numFmt w:val="bullet"/>
      <w:lvlText w:val="•"/>
      <w:lvlJc w:val="left"/>
      <w:pPr>
        <w:tabs>
          <w:tab w:val="num" w:pos="4320"/>
        </w:tabs>
        <w:ind w:left="4320" w:hanging="360"/>
      </w:pPr>
      <w:rPr>
        <w:rFonts w:ascii="Times New Roman" w:hAnsi="Times New Roman" w:hint="default"/>
      </w:rPr>
    </w:lvl>
    <w:lvl w:ilvl="6" w:tplc="1AAC928A" w:tentative="1">
      <w:start w:val="1"/>
      <w:numFmt w:val="bullet"/>
      <w:lvlText w:val="•"/>
      <w:lvlJc w:val="left"/>
      <w:pPr>
        <w:tabs>
          <w:tab w:val="num" w:pos="5040"/>
        </w:tabs>
        <w:ind w:left="5040" w:hanging="360"/>
      </w:pPr>
      <w:rPr>
        <w:rFonts w:ascii="Times New Roman" w:hAnsi="Times New Roman" w:hint="default"/>
      </w:rPr>
    </w:lvl>
    <w:lvl w:ilvl="7" w:tplc="4B045AE6" w:tentative="1">
      <w:start w:val="1"/>
      <w:numFmt w:val="bullet"/>
      <w:lvlText w:val="•"/>
      <w:lvlJc w:val="left"/>
      <w:pPr>
        <w:tabs>
          <w:tab w:val="num" w:pos="5760"/>
        </w:tabs>
        <w:ind w:left="5760" w:hanging="360"/>
      </w:pPr>
      <w:rPr>
        <w:rFonts w:ascii="Times New Roman" w:hAnsi="Times New Roman" w:hint="default"/>
      </w:rPr>
    </w:lvl>
    <w:lvl w:ilvl="8" w:tplc="B40A8FBE"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544638EF"/>
    <w:multiLevelType w:val="hybridMultilevel"/>
    <w:tmpl w:val="D76A7A40"/>
    <w:lvl w:ilvl="0" w:tplc="6646ED1A">
      <w:start w:val="1"/>
      <w:numFmt w:val="bullet"/>
      <w:lvlText w:val="•"/>
      <w:lvlJc w:val="left"/>
      <w:pPr>
        <w:tabs>
          <w:tab w:val="num" w:pos="720"/>
        </w:tabs>
        <w:ind w:left="720" w:hanging="360"/>
      </w:pPr>
      <w:rPr>
        <w:rFonts w:ascii="Arial" w:hAnsi="Arial" w:hint="default"/>
      </w:rPr>
    </w:lvl>
    <w:lvl w:ilvl="1" w:tplc="AB3CAE56" w:tentative="1">
      <w:start w:val="1"/>
      <w:numFmt w:val="bullet"/>
      <w:lvlText w:val="•"/>
      <w:lvlJc w:val="left"/>
      <w:pPr>
        <w:tabs>
          <w:tab w:val="num" w:pos="1440"/>
        </w:tabs>
        <w:ind w:left="1440" w:hanging="360"/>
      </w:pPr>
      <w:rPr>
        <w:rFonts w:ascii="Arial" w:hAnsi="Arial" w:hint="default"/>
      </w:rPr>
    </w:lvl>
    <w:lvl w:ilvl="2" w:tplc="C148A38C" w:tentative="1">
      <w:start w:val="1"/>
      <w:numFmt w:val="bullet"/>
      <w:lvlText w:val="•"/>
      <w:lvlJc w:val="left"/>
      <w:pPr>
        <w:tabs>
          <w:tab w:val="num" w:pos="2160"/>
        </w:tabs>
        <w:ind w:left="2160" w:hanging="360"/>
      </w:pPr>
      <w:rPr>
        <w:rFonts w:ascii="Arial" w:hAnsi="Arial" w:hint="default"/>
      </w:rPr>
    </w:lvl>
    <w:lvl w:ilvl="3" w:tplc="B89A7B70" w:tentative="1">
      <w:start w:val="1"/>
      <w:numFmt w:val="bullet"/>
      <w:lvlText w:val="•"/>
      <w:lvlJc w:val="left"/>
      <w:pPr>
        <w:tabs>
          <w:tab w:val="num" w:pos="2880"/>
        </w:tabs>
        <w:ind w:left="2880" w:hanging="360"/>
      </w:pPr>
      <w:rPr>
        <w:rFonts w:ascii="Arial" w:hAnsi="Arial" w:hint="default"/>
      </w:rPr>
    </w:lvl>
    <w:lvl w:ilvl="4" w:tplc="FAC0310E" w:tentative="1">
      <w:start w:val="1"/>
      <w:numFmt w:val="bullet"/>
      <w:lvlText w:val="•"/>
      <w:lvlJc w:val="left"/>
      <w:pPr>
        <w:tabs>
          <w:tab w:val="num" w:pos="3600"/>
        </w:tabs>
        <w:ind w:left="3600" w:hanging="360"/>
      </w:pPr>
      <w:rPr>
        <w:rFonts w:ascii="Arial" w:hAnsi="Arial" w:hint="default"/>
      </w:rPr>
    </w:lvl>
    <w:lvl w:ilvl="5" w:tplc="40BAAA42" w:tentative="1">
      <w:start w:val="1"/>
      <w:numFmt w:val="bullet"/>
      <w:lvlText w:val="•"/>
      <w:lvlJc w:val="left"/>
      <w:pPr>
        <w:tabs>
          <w:tab w:val="num" w:pos="4320"/>
        </w:tabs>
        <w:ind w:left="4320" w:hanging="360"/>
      </w:pPr>
      <w:rPr>
        <w:rFonts w:ascii="Arial" w:hAnsi="Arial" w:hint="default"/>
      </w:rPr>
    </w:lvl>
    <w:lvl w:ilvl="6" w:tplc="14148318" w:tentative="1">
      <w:start w:val="1"/>
      <w:numFmt w:val="bullet"/>
      <w:lvlText w:val="•"/>
      <w:lvlJc w:val="left"/>
      <w:pPr>
        <w:tabs>
          <w:tab w:val="num" w:pos="5040"/>
        </w:tabs>
        <w:ind w:left="5040" w:hanging="360"/>
      </w:pPr>
      <w:rPr>
        <w:rFonts w:ascii="Arial" w:hAnsi="Arial" w:hint="default"/>
      </w:rPr>
    </w:lvl>
    <w:lvl w:ilvl="7" w:tplc="9C40E4B0" w:tentative="1">
      <w:start w:val="1"/>
      <w:numFmt w:val="bullet"/>
      <w:lvlText w:val="•"/>
      <w:lvlJc w:val="left"/>
      <w:pPr>
        <w:tabs>
          <w:tab w:val="num" w:pos="5760"/>
        </w:tabs>
        <w:ind w:left="5760" w:hanging="360"/>
      </w:pPr>
      <w:rPr>
        <w:rFonts w:ascii="Arial" w:hAnsi="Arial" w:hint="default"/>
      </w:rPr>
    </w:lvl>
    <w:lvl w:ilvl="8" w:tplc="C53C4A2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F306E9C"/>
    <w:multiLevelType w:val="hybridMultilevel"/>
    <w:tmpl w:val="49C474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D1735A0"/>
    <w:multiLevelType w:val="hybridMultilevel"/>
    <w:tmpl w:val="E3164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7"/>
  </w:num>
  <w:num w:numId="5">
    <w:abstractNumId w:val="2"/>
  </w:num>
  <w:num w:numId="6">
    <w:abstractNumId w:val="6"/>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EBA"/>
    <w:rsid w:val="00001389"/>
    <w:rsid w:val="00035EAD"/>
    <w:rsid w:val="00042D11"/>
    <w:rsid w:val="001065C1"/>
    <w:rsid w:val="001C4477"/>
    <w:rsid w:val="00261718"/>
    <w:rsid w:val="002919BF"/>
    <w:rsid w:val="002D7301"/>
    <w:rsid w:val="00303F27"/>
    <w:rsid w:val="00334036"/>
    <w:rsid w:val="00376AC2"/>
    <w:rsid w:val="00425422"/>
    <w:rsid w:val="004938B5"/>
    <w:rsid w:val="004F5A14"/>
    <w:rsid w:val="00582B13"/>
    <w:rsid w:val="00592575"/>
    <w:rsid w:val="005A2EDB"/>
    <w:rsid w:val="005C0790"/>
    <w:rsid w:val="005C517F"/>
    <w:rsid w:val="006A1F60"/>
    <w:rsid w:val="006F5B68"/>
    <w:rsid w:val="00726B1E"/>
    <w:rsid w:val="007E40C6"/>
    <w:rsid w:val="009921F2"/>
    <w:rsid w:val="009A1AF2"/>
    <w:rsid w:val="009B3C42"/>
    <w:rsid w:val="00A22DBA"/>
    <w:rsid w:val="00A36FE3"/>
    <w:rsid w:val="00A54362"/>
    <w:rsid w:val="00A6157C"/>
    <w:rsid w:val="00BF3AAF"/>
    <w:rsid w:val="00C755D9"/>
    <w:rsid w:val="00C97CDA"/>
    <w:rsid w:val="00CB21E2"/>
    <w:rsid w:val="00D22FCF"/>
    <w:rsid w:val="00D76FCE"/>
    <w:rsid w:val="00DA75B6"/>
    <w:rsid w:val="00DB6FE3"/>
    <w:rsid w:val="00E36F64"/>
    <w:rsid w:val="00E66279"/>
    <w:rsid w:val="00E70B65"/>
    <w:rsid w:val="00E921E5"/>
    <w:rsid w:val="00F60BE9"/>
    <w:rsid w:val="00F65EBA"/>
    <w:rsid w:val="00F73A81"/>
    <w:rsid w:val="00FC55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BA99A"/>
  <w15:docId w15:val="{F32F62ED-FB53-40A5-A316-21907BCBD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F65E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autoRedefine/>
    <w:uiPriority w:val="9"/>
    <w:unhideWhenUsed/>
    <w:qFormat/>
    <w:rsid w:val="00303F27"/>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A6157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EBA"/>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F65EBA"/>
  </w:style>
  <w:style w:type="character" w:styleId="CommentReference">
    <w:name w:val="annotation reference"/>
    <w:basedOn w:val="DefaultParagraphFont"/>
    <w:uiPriority w:val="99"/>
    <w:semiHidden/>
    <w:unhideWhenUsed/>
    <w:rsid w:val="00F65EBA"/>
  </w:style>
  <w:style w:type="character" w:styleId="Hyperlink">
    <w:name w:val="Hyperlink"/>
    <w:basedOn w:val="DefaultParagraphFont"/>
    <w:uiPriority w:val="99"/>
    <w:unhideWhenUsed/>
    <w:rsid w:val="00F65EBA"/>
    <w:rPr>
      <w:color w:val="0000FF"/>
      <w:u w:val="single"/>
    </w:rPr>
  </w:style>
  <w:style w:type="paragraph" w:styleId="Header">
    <w:name w:val="header"/>
    <w:basedOn w:val="Normal"/>
    <w:link w:val="HeaderChar"/>
    <w:uiPriority w:val="99"/>
    <w:unhideWhenUsed/>
    <w:rsid w:val="00BF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AAF"/>
  </w:style>
  <w:style w:type="paragraph" w:styleId="Footer">
    <w:name w:val="footer"/>
    <w:basedOn w:val="Normal"/>
    <w:link w:val="FooterChar"/>
    <w:uiPriority w:val="99"/>
    <w:unhideWhenUsed/>
    <w:rsid w:val="00BF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AAF"/>
  </w:style>
  <w:style w:type="character" w:customStyle="1" w:styleId="Heading2Char">
    <w:name w:val="Heading 2 Char"/>
    <w:basedOn w:val="DefaultParagraphFont"/>
    <w:link w:val="Heading2"/>
    <w:uiPriority w:val="9"/>
    <w:rsid w:val="00303F27"/>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A6157C"/>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D76FCE"/>
    <w:pPr>
      <w:ind w:left="720"/>
      <w:contextualSpacing/>
    </w:pPr>
  </w:style>
  <w:style w:type="character" w:styleId="PlaceholderText">
    <w:name w:val="Placeholder Text"/>
    <w:basedOn w:val="DefaultParagraphFont"/>
    <w:uiPriority w:val="99"/>
    <w:semiHidden/>
    <w:rsid w:val="00E36F64"/>
    <w:rPr>
      <w:color w:val="808080"/>
    </w:rPr>
  </w:style>
  <w:style w:type="character" w:styleId="FollowedHyperlink">
    <w:name w:val="FollowedHyperlink"/>
    <w:basedOn w:val="DefaultParagraphFont"/>
    <w:uiPriority w:val="99"/>
    <w:semiHidden/>
    <w:unhideWhenUsed/>
    <w:rsid w:val="00334036"/>
    <w:rPr>
      <w:color w:val="954F72" w:themeColor="followedHyperlink"/>
      <w:u w:val="single"/>
    </w:rPr>
  </w:style>
  <w:style w:type="table" w:styleId="TableGrid">
    <w:name w:val="Table Grid"/>
    <w:basedOn w:val="TableNormal"/>
    <w:uiPriority w:val="39"/>
    <w:rsid w:val="004F5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F5A14"/>
    <w:pPr>
      <w:spacing w:before="100" w:beforeAutospacing="1" w:after="100" w:afterAutospacing="1" w:line="240" w:lineRule="auto"/>
    </w:pPr>
    <w:rPr>
      <w:rFonts w:ascii="Times New Roman" w:eastAsia="Times New Roman" w:hAnsi="Times New Roman" w:cs="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882056">
      <w:bodyDiv w:val="1"/>
      <w:marLeft w:val="0"/>
      <w:marRight w:val="0"/>
      <w:marTop w:val="0"/>
      <w:marBottom w:val="0"/>
      <w:divBdr>
        <w:top w:val="none" w:sz="0" w:space="0" w:color="auto"/>
        <w:left w:val="none" w:sz="0" w:space="0" w:color="auto"/>
        <w:bottom w:val="none" w:sz="0" w:space="0" w:color="auto"/>
        <w:right w:val="none" w:sz="0" w:space="0" w:color="auto"/>
      </w:divBdr>
      <w:divsChild>
        <w:div w:id="600650299">
          <w:marLeft w:val="547"/>
          <w:marRight w:val="0"/>
          <w:marTop w:val="125"/>
          <w:marBottom w:val="0"/>
          <w:divBdr>
            <w:top w:val="none" w:sz="0" w:space="0" w:color="auto"/>
            <w:left w:val="none" w:sz="0" w:space="0" w:color="auto"/>
            <w:bottom w:val="none" w:sz="0" w:space="0" w:color="auto"/>
            <w:right w:val="none" w:sz="0" w:space="0" w:color="auto"/>
          </w:divBdr>
        </w:div>
      </w:divsChild>
    </w:div>
    <w:div w:id="470442054">
      <w:bodyDiv w:val="1"/>
      <w:marLeft w:val="0"/>
      <w:marRight w:val="0"/>
      <w:marTop w:val="0"/>
      <w:marBottom w:val="0"/>
      <w:divBdr>
        <w:top w:val="none" w:sz="0" w:space="0" w:color="auto"/>
        <w:left w:val="none" w:sz="0" w:space="0" w:color="auto"/>
        <w:bottom w:val="none" w:sz="0" w:space="0" w:color="auto"/>
        <w:right w:val="none" w:sz="0" w:space="0" w:color="auto"/>
      </w:divBdr>
    </w:div>
    <w:div w:id="554776120">
      <w:bodyDiv w:val="1"/>
      <w:marLeft w:val="0"/>
      <w:marRight w:val="0"/>
      <w:marTop w:val="0"/>
      <w:marBottom w:val="0"/>
      <w:divBdr>
        <w:top w:val="none" w:sz="0" w:space="0" w:color="auto"/>
        <w:left w:val="none" w:sz="0" w:space="0" w:color="auto"/>
        <w:bottom w:val="none" w:sz="0" w:space="0" w:color="auto"/>
        <w:right w:val="none" w:sz="0" w:space="0" w:color="auto"/>
      </w:divBdr>
    </w:div>
    <w:div w:id="922028013">
      <w:bodyDiv w:val="1"/>
      <w:marLeft w:val="0"/>
      <w:marRight w:val="0"/>
      <w:marTop w:val="0"/>
      <w:marBottom w:val="0"/>
      <w:divBdr>
        <w:top w:val="none" w:sz="0" w:space="0" w:color="auto"/>
        <w:left w:val="none" w:sz="0" w:space="0" w:color="auto"/>
        <w:bottom w:val="none" w:sz="0" w:space="0" w:color="auto"/>
        <w:right w:val="none" w:sz="0" w:space="0" w:color="auto"/>
      </w:divBdr>
    </w:div>
    <w:div w:id="997002093">
      <w:bodyDiv w:val="1"/>
      <w:marLeft w:val="0"/>
      <w:marRight w:val="0"/>
      <w:marTop w:val="0"/>
      <w:marBottom w:val="0"/>
      <w:divBdr>
        <w:top w:val="none" w:sz="0" w:space="0" w:color="auto"/>
        <w:left w:val="none" w:sz="0" w:space="0" w:color="auto"/>
        <w:bottom w:val="none" w:sz="0" w:space="0" w:color="auto"/>
        <w:right w:val="none" w:sz="0" w:space="0" w:color="auto"/>
      </w:divBdr>
      <w:divsChild>
        <w:div w:id="1984502057">
          <w:marLeft w:val="0"/>
          <w:marRight w:val="0"/>
          <w:marTop w:val="0"/>
          <w:marBottom w:val="0"/>
          <w:divBdr>
            <w:top w:val="none" w:sz="0" w:space="0" w:color="auto"/>
            <w:left w:val="none" w:sz="0" w:space="0" w:color="auto"/>
            <w:bottom w:val="none" w:sz="0" w:space="0" w:color="auto"/>
            <w:right w:val="none" w:sz="0" w:space="0" w:color="auto"/>
          </w:divBdr>
        </w:div>
      </w:divsChild>
    </w:div>
    <w:div w:id="1536699425">
      <w:bodyDiv w:val="1"/>
      <w:marLeft w:val="0"/>
      <w:marRight w:val="0"/>
      <w:marTop w:val="0"/>
      <w:marBottom w:val="0"/>
      <w:divBdr>
        <w:top w:val="none" w:sz="0" w:space="0" w:color="auto"/>
        <w:left w:val="none" w:sz="0" w:space="0" w:color="auto"/>
        <w:bottom w:val="none" w:sz="0" w:space="0" w:color="auto"/>
        <w:right w:val="none" w:sz="0" w:space="0" w:color="auto"/>
      </w:divBdr>
      <w:divsChild>
        <w:div w:id="78331560">
          <w:marLeft w:val="547"/>
          <w:marRight w:val="0"/>
          <w:marTop w:val="154"/>
          <w:marBottom w:val="0"/>
          <w:divBdr>
            <w:top w:val="none" w:sz="0" w:space="0" w:color="auto"/>
            <w:left w:val="none" w:sz="0" w:space="0" w:color="auto"/>
            <w:bottom w:val="none" w:sz="0" w:space="0" w:color="auto"/>
            <w:right w:val="none" w:sz="0" w:space="0" w:color="auto"/>
          </w:divBdr>
        </w:div>
      </w:divsChild>
    </w:div>
    <w:div w:id="1896428646">
      <w:bodyDiv w:val="1"/>
      <w:marLeft w:val="0"/>
      <w:marRight w:val="0"/>
      <w:marTop w:val="0"/>
      <w:marBottom w:val="0"/>
      <w:divBdr>
        <w:top w:val="none" w:sz="0" w:space="0" w:color="auto"/>
        <w:left w:val="none" w:sz="0" w:space="0" w:color="auto"/>
        <w:bottom w:val="none" w:sz="0" w:space="0" w:color="auto"/>
        <w:right w:val="none" w:sz="0" w:space="0" w:color="auto"/>
      </w:divBdr>
    </w:div>
    <w:div w:id="1945768865">
      <w:bodyDiv w:val="1"/>
      <w:marLeft w:val="0"/>
      <w:marRight w:val="0"/>
      <w:marTop w:val="0"/>
      <w:marBottom w:val="0"/>
      <w:divBdr>
        <w:top w:val="none" w:sz="0" w:space="0" w:color="auto"/>
        <w:left w:val="none" w:sz="0" w:space="0" w:color="auto"/>
        <w:bottom w:val="none" w:sz="0" w:space="0" w:color="auto"/>
        <w:right w:val="none" w:sz="0" w:space="0" w:color="auto"/>
      </w:divBdr>
      <w:divsChild>
        <w:div w:id="207769418">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emf"/><Relationship Id="rId18" Type="http://schemas.openxmlformats.org/officeDocument/2006/relationships/oleObject" Target="embeddings/oleObject3.bin"/><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1.emf"/><Relationship Id="rId7" Type="http://schemas.openxmlformats.org/officeDocument/2006/relationships/image" Target="media/image1.wmf"/><Relationship Id="rId12" Type="http://schemas.openxmlformats.org/officeDocument/2006/relationships/hyperlink" Target="http://teachmefinance.com/standarddeviation.html" TargetMode="External"/><Relationship Id="rId17" Type="http://schemas.openxmlformats.org/officeDocument/2006/relationships/image" Target="media/image8.wmf"/><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0.emf"/><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3.png"/><Relationship Id="rId28" Type="http://schemas.openxmlformats.org/officeDocument/2006/relationships/header" Target="header3.xml"/><Relationship Id="rId10" Type="http://schemas.openxmlformats.org/officeDocument/2006/relationships/image" Target="media/image3.emf"/><Relationship Id="rId19" Type="http://schemas.openxmlformats.org/officeDocument/2006/relationships/image" Target="media/image9.em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2.bin"/><Relationship Id="rId22" Type="http://schemas.openxmlformats.org/officeDocument/2006/relationships/image" Target="media/image12.pn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1710</Words>
  <Characters>9748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Debbie Kuyatt</cp:lastModifiedBy>
  <cp:revision>2</cp:revision>
  <dcterms:created xsi:type="dcterms:W3CDTF">2019-11-21T16:31:00Z</dcterms:created>
  <dcterms:modified xsi:type="dcterms:W3CDTF">2019-11-21T16:31:00Z</dcterms:modified>
</cp:coreProperties>
</file>